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292D57" w14:textId="77777777" w:rsidR="00C84E6A" w:rsidRPr="00F22DF2" w:rsidRDefault="00E81C37" w:rsidP="008B663C">
      <w:pPr>
        <w:jc w:val="center"/>
        <w:rPr>
          <w:rFonts w:asciiTheme="minorHAnsi" w:eastAsiaTheme="minorEastAsia" w:hAnsiTheme="minorHAnsi" w:cstheme="minorHAnsi"/>
        </w:rPr>
      </w:pPr>
      <w:r w:rsidRPr="00F22DF2">
        <w:rPr>
          <w:rFonts w:asciiTheme="minorHAnsi" w:eastAsiaTheme="minorEastAsia" w:hAnsiTheme="minorHAnsi" w:cstheme="minorHAnsi"/>
          <w:noProof/>
          <w:lang w:eastAsia="fr-FR"/>
        </w:rPr>
        <w:drawing>
          <wp:inline distT="0" distB="0" distL="0" distR="0" wp14:anchorId="7F7FC676" wp14:editId="63ED9906">
            <wp:extent cx="3192145" cy="653415"/>
            <wp:effectExtent l="0" t="0" r="8255" b="698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cstate="print">
                      <a:clrChange>
                        <a:clrFrom>
                          <a:srgbClr val="000000">
                            <a:alpha val="0"/>
                          </a:srgbClr>
                        </a:clrFrom>
                        <a:clrTo>
                          <a:srgbClr val="000000">
                            <a:alpha val="0"/>
                            <a:alpha val="0"/>
                          </a:srgbClr>
                        </a:clrTo>
                      </a:clrChange>
                      <a:extLst>
                        <a:ext uri="{28A0092B-C50C-407E-A947-70E740481C1C}">
                          <a14:useLocalDpi xmlns:a14="http://schemas.microsoft.com/office/drawing/2010/main" val="0"/>
                        </a:ext>
                      </a:extLst>
                    </a:blip>
                    <a:srcRect/>
                    <a:stretch>
                      <a:fillRect/>
                    </a:stretch>
                  </pic:blipFill>
                  <pic:spPr>
                    <a:xfrm>
                      <a:off x="0" y="0"/>
                      <a:ext cx="3192145" cy="653415"/>
                    </a:xfrm>
                    <a:prstGeom prst="rect">
                      <a:avLst/>
                    </a:prstGeom>
                    <a:noFill/>
                    <a:ln>
                      <a:noFill/>
                    </a:ln>
                  </pic:spPr>
                </pic:pic>
              </a:graphicData>
            </a:graphic>
          </wp:inline>
        </w:drawing>
      </w:r>
    </w:p>
    <w:p w14:paraId="3BBD608F" w14:textId="77777777" w:rsidR="00C84E6A" w:rsidRPr="00F22DF2" w:rsidRDefault="00C84E6A" w:rsidP="008B663C">
      <w:pPr>
        <w:jc w:val="center"/>
        <w:rPr>
          <w:rFonts w:asciiTheme="minorHAnsi" w:eastAsiaTheme="minorEastAsia" w:hAnsiTheme="minorHAnsi" w:cstheme="minorHAnsi"/>
        </w:rPr>
      </w:pPr>
    </w:p>
    <w:p w14:paraId="6B2E34D3" w14:textId="23544AE0" w:rsidR="00C84E6A" w:rsidRPr="00F22DF2" w:rsidRDefault="00E81C37" w:rsidP="008B663C">
      <w:pPr>
        <w:pBdr>
          <w:top w:val="single" w:sz="4" w:space="1" w:color="000000"/>
          <w:left w:val="single" w:sz="4" w:space="4" w:color="000000"/>
          <w:bottom w:val="single" w:sz="4" w:space="1" w:color="000000"/>
          <w:right w:val="single" w:sz="4" w:space="4" w:color="000000"/>
        </w:pBdr>
        <w:jc w:val="center"/>
        <w:rPr>
          <w:rFonts w:asciiTheme="minorHAnsi" w:eastAsiaTheme="minorEastAsia" w:hAnsiTheme="minorHAnsi" w:cstheme="minorHAnsi"/>
          <w:b/>
          <w:bCs/>
        </w:rPr>
      </w:pPr>
      <w:r w:rsidRPr="00F22DF2">
        <w:rPr>
          <w:rFonts w:asciiTheme="minorHAnsi" w:eastAsiaTheme="minorEastAsia" w:hAnsiTheme="minorHAnsi" w:cstheme="minorHAnsi"/>
          <w:b/>
        </w:rPr>
        <w:t>Notice relative au recrutement d’un</w:t>
      </w:r>
      <w:r w:rsidR="00E043A3" w:rsidRPr="00F22DF2">
        <w:rPr>
          <w:rFonts w:asciiTheme="minorHAnsi" w:eastAsiaTheme="minorEastAsia" w:hAnsiTheme="minorHAnsi" w:cstheme="minorHAnsi"/>
          <w:b/>
        </w:rPr>
        <w:t>e ou d’un</w:t>
      </w:r>
      <w:r w:rsidRPr="00F22DF2">
        <w:rPr>
          <w:rFonts w:asciiTheme="minorHAnsi" w:eastAsiaTheme="minorEastAsia" w:hAnsiTheme="minorHAnsi" w:cstheme="minorHAnsi"/>
          <w:b/>
        </w:rPr>
        <w:t xml:space="preserve"> maître de conférences en économie appliquée à la finance et aux marchés de matières premières</w:t>
      </w:r>
    </w:p>
    <w:p w14:paraId="66AD6B8D" w14:textId="77777777" w:rsidR="00C84E6A" w:rsidRPr="00F22DF2" w:rsidRDefault="00E81C37" w:rsidP="008B663C">
      <w:pPr>
        <w:pBdr>
          <w:top w:val="single" w:sz="4" w:space="1" w:color="000000"/>
          <w:left w:val="single" w:sz="4" w:space="4" w:color="000000"/>
          <w:bottom w:val="single" w:sz="4" w:space="1" w:color="000000"/>
          <w:right w:val="single" w:sz="4" w:space="4" w:color="000000"/>
        </w:pBdr>
        <w:jc w:val="center"/>
        <w:rPr>
          <w:rFonts w:asciiTheme="minorHAnsi" w:eastAsiaTheme="minorEastAsia" w:hAnsiTheme="minorHAnsi" w:cstheme="minorHAnsi"/>
          <w:b/>
        </w:rPr>
      </w:pPr>
      <w:r w:rsidRPr="00F22DF2">
        <w:rPr>
          <w:rFonts w:asciiTheme="minorHAnsi" w:eastAsiaTheme="minorEastAsia" w:hAnsiTheme="minorHAnsi" w:cstheme="minorHAnsi"/>
          <w:b/>
          <w:kern w:val="0"/>
        </w:rPr>
        <w:t>Département :   SESG</w:t>
      </w:r>
    </w:p>
    <w:p w14:paraId="2603E574" w14:textId="77777777" w:rsidR="00C84E6A" w:rsidRPr="00F22DF2" w:rsidRDefault="00E81C37" w:rsidP="008B663C">
      <w:pPr>
        <w:pBdr>
          <w:top w:val="single" w:sz="4" w:space="1" w:color="000000"/>
          <w:left w:val="single" w:sz="4" w:space="4" w:color="000000"/>
          <w:bottom w:val="single" w:sz="4" w:space="1" w:color="000000"/>
          <w:right w:val="single" w:sz="4" w:space="4" w:color="000000"/>
        </w:pBdr>
        <w:jc w:val="center"/>
        <w:outlineLvl w:val="0"/>
        <w:rPr>
          <w:rFonts w:asciiTheme="minorHAnsi" w:eastAsiaTheme="minorEastAsia" w:hAnsiTheme="minorHAnsi" w:cstheme="minorHAnsi"/>
          <w:b/>
          <w:bCs/>
        </w:rPr>
      </w:pPr>
      <w:r w:rsidRPr="00F22DF2">
        <w:rPr>
          <w:rFonts w:asciiTheme="minorHAnsi" w:eastAsiaTheme="minorEastAsia" w:hAnsiTheme="minorHAnsi" w:cstheme="minorHAnsi"/>
          <w:b/>
        </w:rPr>
        <w:t>CNECA N°   9</w:t>
      </w:r>
    </w:p>
    <w:p w14:paraId="7E8655D3" w14:textId="77777777" w:rsidR="00C84E6A" w:rsidRPr="00F22DF2" w:rsidRDefault="00C84E6A" w:rsidP="009417ED">
      <w:pPr>
        <w:jc w:val="both"/>
        <w:rPr>
          <w:rFonts w:asciiTheme="minorHAnsi" w:eastAsiaTheme="minorEastAsia" w:hAnsiTheme="minorHAnsi" w:cstheme="minorHAnsi"/>
          <w:b/>
          <w:bCs/>
          <w:u w:val="single"/>
        </w:rPr>
      </w:pPr>
    </w:p>
    <w:p w14:paraId="029772D2" w14:textId="2F4DCF24" w:rsidR="00C84E6A" w:rsidRPr="00F22DF2" w:rsidRDefault="00E81C37" w:rsidP="009417ED">
      <w:pPr>
        <w:jc w:val="both"/>
        <w:rPr>
          <w:rFonts w:asciiTheme="minorHAnsi" w:eastAsiaTheme="minorEastAsia" w:hAnsiTheme="minorHAnsi" w:cstheme="minorHAnsi"/>
          <w:b/>
          <w:bCs/>
          <w:u w:val="single"/>
        </w:rPr>
      </w:pPr>
      <w:r w:rsidRPr="00F22DF2">
        <w:rPr>
          <w:rFonts w:asciiTheme="minorHAnsi" w:eastAsiaTheme="minorEastAsia" w:hAnsiTheme="minorHAnsi" w:cstheme="minorHAnsi"/>
          <w:b/>
          <w:bCs/>
          <w:u w:val="single"/>
        </w:rPr>
        <w:t>Etablissement</w:t>
      </w:r>
    </w:p>
    <w:p w14:paraId="571060C2" w14:textId="77777777" w:rsidR="00E043A3" w:rsidRPr="00F22DF2" w:rsidRDefault="00E043A3" w:rsidP="009417ED">
      <w:pPr>
        <w:jc w:val="both"/>
        <w:rPr>
          <w:rFonts w:asciiTheme="minorHAnsi" w:eastAsiaTheme="minorEastAsia" w:hAnsiTheme="minorHAnsi" w:cstheme="minorHAnsi"/>
          <w:u w:val="single"/>
        </w:rPr>
      </w:pPr>
    </w:p>
    <w:p w14:paraId="6C974177" w14:textId="77777777" w:rsidR="00E043A3" w:rsidRPr="00F22DF2" w:rsidRDefault="00E043A3" w:rsidP="00E043A3">
      <w:pPr>
        <w:spacing w:before="60"/>
        <w:ind w:left="-6"/>
        <w:jc w:val="both"/>
        <w:rPr>
          <w:rFonts w:asciiTheme="minorHAnsi" w:hAnsiTheme="minorHAnsi" w:cstheme="minorHAnsi"/>
          <w:kern w:val="0"/>
        </w:rPr>
      </w:pPr>
      <w:r w:rsidRPr="00F22DF2">
        <w:rPr>
          <w:rFonts w:asciiTheme="minorHAnsi" w:hAnsiTheme="minorHAnsi" w:cstheme="minorHAnsi"/>
        </w:rPr>
        <w:t>AgroParisTech est un établissement public à caractère scientifique, culturel et professionnel de type grand établissement. Placé sous la tutelle des ministres chargés de l’agriculture et de l’enseignement supérieur, ses domaines de compétence recouvrent l’alimentation des hommes et les préoccupations nutritionnelles, la santé, la prévention des risques sanitaires, la protection de l’environnement, la gestion durable des ressources naturelles et, d’une manière plus générale, la valorisation des territoires.</w:t>
      </w:r>
    </w:p>
    <w:p w14:paraId="01B75C8F" w14:textId="77777777" w:rsidR="00E043A3" w:rsidRPr="00F22DF2" w:rsidRDefault="00E043A3" w:rsidP="00E043A3">
      <w:pPr>
        <w:spacing w:before="60"/>
        <w:ind w:left="-6"/>
        <w:jc w:val="both"/>
        <w:rPr>
          <w:rFonts w:asciiTheme="minorHAnsi" w:hAnsiTheme="minorHAnsi" w:cstheme="minorHAnsi"/>
        </w:rPr>
      </w:pPr>
      <w:r w:rsidRPr="00F22DF2">
        <w:rPr>
          <w:rFonts w:asciiTheme="minorHAnsi" w:hAnsiTheme="minorHAnsi" w:cstheme="minorHAnsi"/>
        </w:rPr>
        <w:t xml:space="preserve">L’établissement est organisé en cinq départements de formation et de recherche : </w:t>
      </w:r>
    </w:p>
    <w:p w14:paraId="726683D5" w14:textId="77777777" w:rsidR="00E043A3" w:rsidRPr="00F22DF2" w:rsidRDefault="00E043A3" w:rsidP="00E043A3">
      <w:pPr>
        <w:widowControl/>
        <w:numPr>
          <w:ilvl w:val="0"/>
          <w:numId w:val="6"/>
        </w:numPr>
        <w:suppressAutoHyphens w:val="0"/>
        <w:ind w:left="357"/>
        <w:jc w:val="both"/>
        <w:rPr>
          <w:rFonts w:asciiTheme="minorHAnsi" w:hAnsiTheme="minorHAnsi" w:cstheme="minorHAnsi"/>
        </w:rPr>
      </w:pPr>
      <w:r w:rsidRPr="00F22DF2">
        <w:rPr>
          <w:rFonts w:asciiTheme="minorHAnsi" w:hAnsiTheme="minorHAnsi" w:cstheme="minorHAnsi"/>
        </w:rPr>
        <w:t xml:space="preserve">Sciences et ingénierie agronomiques, forestières, de l’eau et de l’environnement (SIAFEE) ; </w:t>
      </w:r>
    </w:p>
    <w:p w14:paraId="61DC70D3" w14:textId="77777777" w:rsidR="00E043A3" w:rsidRPr="00F22DF2" w:rsidRDefault="00E043A3" w:rsidP="00E043A3">
      <w:pPr>
        <w:widowControl/>
        <w:numPr>
          <w:ilvl w:val="0"/>
          <w:numId w:val="6"/>
        </w:numPr>
        <w:suppressAutoHyphens w:val="0"/>
        <w:ind w:left="357"/>
        <w:jc w:val="both"/>
        <w:rPr>
          <w:rFonts w:asciiTheme="minorHAnsi" w:hAnsiTheme="minorHAnsi" w:cstheme="minorHAnsi"/>
        </w:rPr>
      </w:pPr>
      <w:r w:rsidRPr="00F22DF2">
        <w:rPr>
          <w:rFonts w:asciiTheme="minorHAnsi" w:hAnsiTheme="minorHAnsi" w:cstheme="minorHAnsi"/>
        </w:rPr>
        <w:t xml:space="preserve">Sciences de la vie et santé (SVS) ; </w:t>
      </w:r>
    </w:p>
    <w:p w14:paraId="60E13587" w14:textId="77777777" w:rsidR="00E043A3" w:rsidRPr="00F22DF2" w:rsidRDefault="00E043A3" w:rsidP="00E043A3">
      <w:pPr>
        <w:widowControl/>
        <w:numPr>
          <w:ilvl w:val="0"/>
          <w:numId w:val="6"/>
        </w:numPr>
        <w:suppressAutoHyphens w:val="0"/>
        <w:ind w:left="357"/>
        <w:jc w:val="both"/>
        <w:rPr>
          <w:rFonts w:asciiTheme="minorHAnsi" w:hAnsiTheme="minorHAnsi" w:cstheme="minorHAnsi"/>
        </w:rPr>
      </w:pPr>
      <w:r w:rsidRPr="00F22DF2">
        <w:rPr>
          <w:rFonts w:asciiTheme="minorHAnsi" w:hAnsiTheme="minorHAnsi" w:cstheme="minorHAnsi"/>
        </w:rPr>
        <w:t>Sciences et procédés des aliments et bio-produits (SPAB) ;</w:t>
      </w:r>
    </w:p>
    <w:p w14:paraId="3ACF64F1" w14:textId="77777777" w:rsidR="00E043A3" w:rsidRPr="00F22DF2" w:rsidRDefault="00E043A3" w:rsidP="00E043A3">
      <w:pPr>
        <w:widowControl/>
        <w:numPr>
          <w:ilvl w:val="0"/>
          <w:numId w:val="6"/>
        </w:numPr>
        <w:suppressAutoHyphens w:val="0"/>
        <w:ind w:left="357"/>
        <w:jc w:val="both"/>
        <w:rPr>
          <w:rFonts w:asciiTheme="minorHAnsi" w:hAnsiTheme="minorHAnsi" w:cstheme="minorHAnsi"/>
        </w:rPr>
      </w:pPr>
      <w:r w:rsidRPr="00F22DF2">
        <w:rPr>
          <w:rFonts w:asciiTheme="minorHAnsi" w:hAnsiTheme="minorHAnsi" w:cstheme="minorHAnsi"/>
        </w:rPr>
        <w:t xml:space="preserve">Sciences économiques, sociales et de gestion (SESG) ; </w:t>
      </w:r>
    </w:p>
    <w:p w14:paraId="416056C7" w14:textId="77777777" w:rsidR="00E043A3" w:rsidRPr="00F22DF2" w:rsidRDefault="00E043A3" w:rsidP="00E043A3">
      <w:pPr>
        <w:widowControl/>
        <w:numPr>
          <w:ilvl w:val="0"/>
          <w:numId w:val="6"/>
        </w:numPr>
        <w:suppressAutoHyphens w:val="0"/>
        <w:ind w:left="357"/>
        <w:jc w:val="both"/>
        <w:rPr>
          <w:rFonts w:asciiTheme="minorHAnsi" w:hAnsiTheme="minorHAnsi" w:cstheme="minorHAnsi"/>
        </w:rPr>
      </w:pPr>
      <w:bookmarkStart w:id="0" w:name="_Hlk60911267"/>
      <w:r w:rsidRPr="00F22DF2">
        <w:rPr>
          <w:rFonts w:asciiTheme="minorHAnsi" w:hAnsiTheme="minorHAnsi" w:cstheme="minorHAnsi"/>
        </w:rPr>
        <w:t xml:space="preserve">Modélisation mathématique, informatique et physique </w:t>
      </w:r>
      <w:bookmarkEnd w:id="0"/>
      <w:r w:rsidRPr="00F22DF2">
        <w:rPr>
          <w:rFonts w:asciiTheme="minorHAnsi" w:hAnsiTheme="minorHAnsi" w:cstheme="minorHAnsi"/>
        </w:rPr>
        <w:t xml:space="preserve">(MMIP). </w:t>
      </w:r>
    </w:p>
    <w:p w14:paraId="27EDF958" w14:textId="77777777" w:rsidR="00E043A3" w:rsidRPr="00F22DF2" w:rsidRDefault="00E043A3" w:rsidP="00E043A3">
      <w:pPr>
        <w:spacing w:before="60"/>
        <w:ind w:left="-6"/>
        <w:jc w:val="both"/>
        <w:rPr>
          <w:rFonts w:asciiTheme="minorHAnsi" w:hAnsiTheme="minorHAnsi" w:cstheme="minorHAnsi"/>
        </w:rPr>
      </w:pPr>
      <w:r w:rsidRPr="00F22DF2">
        <w:rPr>
          <w:rFonts w:asciiTheme="minorHAnsi" w:hAnsiTheme="minorHAnsi" w:cstheme="minorHAnsi"/>
        </w:rPr>
        <w:t>AgroParisTech assure des formations de niveau « M » (ingénieur et master), de niveau doctoral et des formations post-master. Il contribue aussi à la formation des fonctionnaires du corps des ingénieurs des ponts, des eaux et des forêts et remplit des missions de formation continue auprès d’une grande diversité de publics, d’entreprises privées et de la fonction publique.</w:t>
      </w:r>
    </w:p>
    <w:p w14:paraId="6F8371C5" w14:textId="77777777" w:rsidR="00E043A3" w:rsidRPr="00F22DF2" w:rsidRDefault="00E043A3" w:rsidP="00E043A3">
      <w:pPr>
        <w:rPr>
          <w:rFonts w:asciiTheme="minorHAnsi" w:hAnsiTheme="minorHAnsi" w:cstheme="minorHAnsi"/>
        </w:rPr>
      </w:pPr>
      <w:r w:rsidRPr="00F22DF2">
        <w:rPr>
          <w:rFonts w:asciiTheme="minorHAnsi" w:hAnsiTheme="minorHAnsi" w:cstheme="minorHAnsi"/>
        </w:rPr>
        <w:t>AgroParisTech est membre fondateur de l’Université Paris-Saclay.</w:t>
      </w:r>
    </w:p>
    <w:p w14:paraId="438FEBF7" w14:textId="77777777" w:rsidR="00C84E6A" w:rsidRPr="00F22DF2" w:rsidRDefault="00C84E6A" w:rsidP="009417ED">
      <w:pPr>
        <w:jc w:val="both"/>
        <w:rPr>
          <w:rFonts w:asciiTheme="minorHAnsi" w:eastAsiaTheme="minorEastAsia" w:hAnsiTheme="minorHAnsi" w:cstheme="minorHAnsi"/>
        </w:rPr>
      </w:pPr>
    </w:p>
    <w:p w14:paraId="035C4CE8" w14:textId="628434D3" w:rsidR="00C84E6A" w:rsidRPr="00F22DF2" w:rsidRDefault="00E81C37" w:rsidP="009417ED">
      <w:pPr>
        <w:jc w:val="both"/>
        <w:rPr>
          <w:rFonts w:asciiTheme="minorHAnsi" w:eastAsiaTheme="minorEastAsia" w:hAnsiTheme="minorHAnsi" w:cstheme="minorHAnsi"/>
          <w:b/>
          <w:bCs/>
        </w:rPr>
      </w:pPr>
      <w:r w:rsidRPr="00F22DF2">
        <w:rPr>
          <w:rFonts w:asciiTheme="minorHAnsi" w:eastAsiaTheme="minorEastAsia" w:hAnsiTheme="minorHAnsi" w:cstheme="minorHAnsi"/>
          <w:b/>
          <w:bCs/>
          <w:u w:val="single"/>
        </w:rPr>
        <w:t xml:space="preserve">Le département de formation et de recherche auquel sera rattaché </w:t>
      </w:r>
      <w:r w:rsidR="00E043A3" w:rsidRPr="00F22DF2">
        <w:rPr>
          <w:rFonts w:asciiTheme="minorHAnsi" w:eastAsiaTheme="minorEastAsia" w:hAnsiTheme="minorHAnsi" w:cstheme="minorHAnsi"/>
          <w:b/>
          <w:bCs/>
          <w:u w:val="single"/>
        </w:rPr>
        <w:t xml:space="preserve">la ou </w:t>
      </w:r>
      <w:r w:rsidRPr="00F22DF2">
        <w:rPr>
          <w:rFonts w:asciiTheme="minorHAnsi" w:eastAsiaTheme="minorEastAsia" w:hAnsiTheme="minorHAnsi" w:cstheme="minorHAnsi"/>
          <w:b/>
          <w:bCs/>
          <w:u w:val="single"/>
        </w:rPr>
        <w:t xml:space="preserve">le </w:t>
      </w:r>
      <w:r w:rsidR="00BA3B5A" w:rsidRPr="00F22DF2">
        <w:rPr>
          <w:rFonts w:asciiTheme="minorHAnsi" w:eastAsiaTheme="minorEastAsia" w:hAnsiTheme="minorHAnsi" w:cstheme="minorHAnsi"/>
          <w:b/>
          <w:bCs/>
          <w:u w:val="single"/>
        </w:rPr>
        <w:t>maître</w:t>
      </w:r>
      <w:r w:rsidRPr="00F22DF2">
        <w:rPr>
          <w:rFonts w:asciiTheme="minorHAnsi" w:eastAsiaTheme="minorEastAsia" w:hAnsiTheme="minorHAnsi" w:cstheme="minorHAnsi"/>
          <w:b/>
          <w:bCs/>
          <w:u w:val="single"/>
        </w:rPr>
        <w:t xml:space="preserve"> de conférences à recruter </w:t>
      </w:r>
      <w:r w:rsidRPr="00F22DF2">
        <w:rPr>
          <w:rFonts w:asciiTheme="minorHAnsi" w:eastAsiaTheme="minorEastAsia" w:hAnsiTheme="minorHAnsi" w:cstheme="minorHAnsi"/>
          <w:b/>
          <w:bCs/>
        </w:rPr>
        <w:t xml:space="preserve">: </w:t>
      </w:r>
    </w:p>
    <w:p w14:paraId="06FF2286" w14:textId="77777777"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rPr>
        <w:t>Département Sciences Economiques, Sociales et de Gestion (SESG) dont les activités d’enseignement et de recherche sont structurées en cinq axes stratégiques : Transformations de l’agriculture et recomposition des filières ; Politique agricole, économie de l’environnement et des ressources naturelles ; Instruments de régulation, outils de gestion, gouvernance des ressources et entreprises ; Transition socio-écologique, consommation alimentaire durable et entreprises ; Évaluation, concertation, territoires et stratégies environnementales</w:t>
      </w:r>
    </w:p>
    <w:p w14:paraId="04DC11AD" w14:textId="77777777" w:rsidR="00C84E6A" w:rsidRPr="00F22DF2" w:rsidRDefault="00C84E6A" w:rsidP="009417ED">
      <w:pPr>
        <w:jc w:val="both"/>
        <w:rPr>
          <w:rFonts w:asciiTheme="minorHAnsi" w:eastAsiaTheme="minorEastAsia" w:hAnsiTheme="minorHAnsi" w:cstheme="minorHAnsi"/>
        </w:rPr>
      </w:pPr>
    </w:p>
    <w:p w14:paraId="099EC6A9" w14:textId="186CEF27" w:rsidR="00C84E6A" w:rsidRPr="00F22DF2" w:rsidRDefault="00E81C37" w:rsidP="009417ED">
      <w:pPr>
        <w:jc w:val="both"/>
        <w:rPr>
          <w:rFonts w:asciiTheme="minorHAnsi" w:eastAsiaTheme="minorEastAsia" w:hAnsiTheme="minorHAnsi" w:cstheme="minorHAnsi"/>
          <w:b/>
          <w:bCs/>
        </w:rPr>
      </w:pPr>
      <w:r w:rsidRPr="00F22DF2">
        <w:rPr>
          <w:rFonts w:asciiTheme="minorHAnsi" w:eastAsiaTheme="minorEastAsia" w:hAnsiTheme="minorHAnsi" w:cstheme="minorHAnsi"/>
          <w:b/>
          <w:bCs/>
          <w:u w:val="single"/>
        </w:rPr>
        <w:t xml:space="preserve">UFR à laquelle sera rattaché </w:t>
      </w:r>
      <w:r w:rsidR="00E043A3" w:rsidRPr="00F22DF2">
        <w:rPr>
          <w:rFonts w:asciiTheme="minorHAnsi" w:eastAsiaTheme="minorEastAsia" w:hAnsiTheme="minorHAnsi" w:cstheme="minorHAnsi"/>
          <w:b/>
          <w:bCs/>
          <w:u w:val="single"/>
        </w:rPr>
        <w:t xml:space="preserve">la ou </w:t>
      </w:r>
      <w:r w:rsidRPr="00F22DF2">
        <w:rPr>
          <w:rFonts w:asciiTheme="minorHAnsi" w:eastAsiaTheme="minorEastAsia" w:hAnsiTheme="minorHAnsi" w:cstheme="minorHAnsi"/>
          <w:b/>
          <w:bCs/>
          <w:u w:val="single"/>
        </w:rPr>
        <w:t xml:space="preserve">le </w:t>
      </w:r>
      <w:r w:rsidR="00BA3B5A" w:rsidRPr="00F22DF2">
        <w:rPr>
          <w:rFonts w:asciiTheme="minorHAnsi" w:eastAsiaTheme="minorEastAsia" w:hAnsiTheme="minorHAnsi" w:cstheme="minorHAnsi"/>
          <w:b/>
          <w:bCs/>
          <w:u w:val="single"/>
        </w:rPr>
        <w:t>maître</w:t>
      </w:r>
      <w:r w:rsidRPr="00F22DF2">
        <w:rPr>
          <w:rFonts w:asciiTheme="minorHAnsi" w:eastAsiaTheme="minorEastAsia" w:hAnsiTheme="minorHAnsi" w:cstheme="minorHAnsi"/>
          <w:b/>
          <w:bCs/>
          <w:u w:val="single"/>
        </w:rPr>
        <w:t xml:space="preserve"> de conférences à recruter :</w:t>
      </w:r>
      <w:r w:rsidRPr="00F22DF2">
        <w:rPr>
          <w:rFonts w:asciiTheme="minorHAnsi" w:eastAsiaTheme="minorEastAsia" w:hAnsiTheme="minorHAnsi" w:cstheme="minorHAnsi"/>
          <w:b/>
          <w:bCs/>
        </w:rPr>
        <w:t xml:space="preserve"> </w:t>
      </w:r>
    </w:p>
    <w:p w14:paraId="2B37E656" w14:textId="77777777" w:rsidR="00C84E6A" w:rsidRPr="00F22DF2" w:rsidRDefault="00E81C37" w:rsidP="009417ED">
      <w:pPr>
        <w:jc w:val="both"/>
        <w:rPr>
          <w:rFonts w:asciiTheme="minorHAnsi" w:eastAsiaTheme="minorEastAsia" w:hAnsiTheme="minorHAnsi" w:cstheme="minorHAnsi"/>
          <w:b/>
          <w:bCs/>
        </w:rPr>
      </w:pPr>
      <w:r w:rsidRPr="00F22DF2">
        <w:rPr>
          <w:rFonts w:asciiTheme="minorHAnsi" w:eastAsiaTheme="minorEastAsia" w:hAnsiTheme="minorHAnsi" w:cstheme="minorHAnsi"/>
        </w:rPr>
        <w:t>Unité de Formation et Recherche Economie Générale et Appliquée (EGA) qui rassemble l’ensemble des formations initiales des étudiants ingénieurs (de la première à la troisième année) et des étudiants universitaires (du M1 au doctorat). Elle se concentre sur les formations en économie à AgroParisTech et à l’Université Paris-Saclay. Les cours enseignés dans cette UFR mettent l'accent sur l'étude des fondamentaux en microéconomie, macroéconomie et économétrie ainsi que sur de nombreux domaines d'application (alimentation, agriculture, biodiversité, écologie, écosystème, énergie, environnement, forêt, marchés financiers, ressources naturelles, santé, transport...).</w:t>
      </w:r>
    </w:p>
    <w:p w14:paraId="5524C638" w14:textId="77777777" w:rsidR="009417ED" w:rsidRPr="00F22DF2" w:rsidRDefault="009417ED" w:rsidP="009417ED">
      <w:pPr>
        <w:jc w:val="both"/>
        <w:rPr>
          <w:rFonts w:asciiTheme="minorHAnsi" w:eastAsiaTheme="minorEastAsia" w:hAnsiTheme="minorHAnsi" w:cstheme="minorHAnsi"/>
          <w:b/>
          <w:bCs/>
          <w:u w:val="single"/>
        </w:rPr>
      </w:pPr>
    </w:p>
    <w:p w14:paraId="6698C248" w14:textId="77777777" w:rsidR="00B632A4" w:rsidRPr="00F22DF2" w:rsidRDefault="00B632A4" w:rsidP="009417ED">
      <w:pPr>
        <w:jc w:val="both"/>
        <w:rPr>
          <w:rFonts w:asciiTheme="minorHAnsi" w:eastAsiaTheme="minorEastAsia" w:hAnsiTheme="minorHAnsi" w:cstheme="minorHAnsi"/>
          <w:b/>
          <w:bCs/>
          <w:u w:val="single"/>
        </w:rPr>
      </w:pPr>
    </w:p>
    <w:p w14:paraId="1091342E" w14:textId="7D169681" w:rsidR="00C84E6A" w:rsidRPr="00F22DF2" w:rsidRDefault="00E81C37" w:rsidP="009417ED">
      <w:pPr>
        <w:jc w:val="both"/>
        <w:rPr>
          <w:rFonts w:asciiTheme="minorHAnsi" w:eastAsiaTheme="minorEastAsia" w:hAnsiTheme="minorHAnsi" w:cstheme="minorHAnsi"/>
          <w:b/>
          <w:bCs/>
        </w:rPr>
      </w:pPr>
      <w:r w:rsidRPr="00F22DF2">
        <w:rPr>
          <w:rFonts w:asciiTheme="minorHAnsi" w:eastAsiaTheme="minorEastAsia" w:hAnsiTheme="minorHAnsi" w:cstheme="minorHAnsi"/>
          <w:b/>
          <w:bCs/>
          <w:u w:val="single"/>
        </w:rPr>
        <w:lastRenderedPageBreak/>
        <w:t xml:space="preserve">UMR à laquelle sera rattaché </w:t>
      </w:r>
      <w:r w:rsidR="00E043A3" w:rsidRPr="00F22DF2">
        <w:rPr>
          <w:rFonts w:asciiTheme="minorHAnsi" w:eastAsiaTheme="minorEastAsia" w:hAnsiTheme="minorHAnsi" w:cstheme="minorHAnsi"/>
          <w:b/>
          <w:bCs/>
          <w:u w:val="single"/>
        </w:rPr>
        <w:t xml:space="preserve">la ou </w:t>
      </w:r>
      <w:r w:rsidRPr="00F22DF2">
        <w:rPr>
          <w:rFonts w:asciiTheme="minorHAnsi" w:eastAsiaTheme="minorEastAsia" w:hAnsiTheme="minorHAnsi" w:cstheme="minorHAnsi"/>
          <w:b/>
          <w:bCs/>
          <w:u w:val="single"/>
        </w:rPr>
        <w:t>le maître de conférences à recruter :</w:t>
      </w:r>
      <w:r w:rsidRPr="00F22DF2">
        <w:rPr>
          <w:rFonts w:asciiTheme="minorHAnsi" w:eastAsiaTheme="minorEastAsia" w:hAnsiTheme="minorHAnsi" w:cstheme="minorHAnsi"/>
          <w:b/>
          <w:bCs/>
        </w:rPr>
        <w:t xml:space="preserve"> </w:t>
      </w:r>
    </w:p>
    <w:p w14:paraId="2D8B749F" w14:textId="77777777" w:rsidR="00C84E6A" w:rsidRPr="00F22DF2" w:rsidRDefault="00E81C37" w:rsidP="009417ED">
      <w:pPr>
        <w:jc w:val="both"/>
        <w:rPr>
          <w:rFonts w:asciiTheme="minorHAnsi" w:eastAsiaTheme="minorEastAsia" w:hAnsiTheme="minorHAnsi" w:cstheme="minorHAnsi"/>
          <w:u w:val="single"/>
        </w:rPr>
      </w:pPr>
      <w:r w:rsidRPr="00F22DF2">
        <w:rPr>
          <w:rFonts w:asciiTheme="minorHAnsi" w:eastAsiaTheme="minorEastAsia" w:hAnsiTheme="minorHAnsi" w:cstheme="minorHAnsi"/>
        </w:rPr>
        <w:t>Unité Mixte de Recherche Paris-Saclay Applied Economics (PSAE) qui est composée d’une cinquantaine de membres permanents d’AgroParisTech et d’INRAE. Elle est organisée autour de trois axes thématiques - Régimes alimentaires durables - Marchés agricoles et filières agro-alimentaires - Systèmes de production durables ; et de deux axes transversaux - Evaluation des politiques publiques - Données et méthodes quantitatives.</w:t>
      </w:r>
    </w:p>
    <w:p w14:paraId="5A05BC2C" w14:textId="77777777" w:rsidR="00C84E6A" w:rsidRPr="00F22DF2" w:rsidRDefault="00C84E6A" w:rsidP="009417ED">
      <w:pPr>
        <w:jc w:val="both"/>
        <w:rPr>
          <w:rFonts w:asciiTheme="minorHAnsi" w:eastAsiaTheme="minorEastAsia" w:hAnsiTheme="minorHAnsi" w:cstheme="minorHAnsi"/>
          <w:u w:val="single"/>
        </w:rPr>
      </w:pPr>
    </w:p>
    <w:p w14:paraId="2910B79B" w14:textId="77777777" w:rsidR="00C84E6A" w:rsidRPr="00F22DF2" w:rsidRDefault="00E81C37" w:rsidP="009417ED">
      <w:pPr>
        <w:pStyle w:val="NormalWeb"/>
        <w:jc w:val="both"/>
        <w:rPr>
          <w:rFonts w:asciiTheme="minorHAnsi" w:eastAsiaTheme="minorEastAsia" w:hAnsiTheme="minorHAnsi" w:cstheme="minorHAnsi"/>
          <w:b/>
          <w:bCs/>
          <w:u w:val="single"/>
        </w:rPr>
      </w:pPr>
      <w:r w:rsidRPr="00F22DF2">
        <w:rPr>
          <w:rFonts w:asciiTheme="minorHAnsi" w:eastAsiaTheme="minorEastAsia" w:hAnsiTheme="minorHAnsi" w:cstheme="minorHAnsi"/>
          <w:b/>
          <w:bCs/>
          <w:u w:val="single"/>
        </w:rPr>
        <w:t>Cadrage général du profil</w:t>
      </w:r>
    </w:p>
    <w:p w14:paraId="01608410" w14:textId="77777777"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rPr>
        <w:t>Ce poste vise à pérenniser une compétence d’AgroParisTech dans l’enseignement (master et ingénieur) et la recherche en économie appliquée à la finance et aux marchés des matières premières, dans le domaine de l’agriculture et de l’environnement. Dans la recherche comme l’enseignement, les thèmes tels que la croissance, les marchés financiers, les marchés à terme agricoles, la finance verte, la dynamique des prix des matières premières, les marchés de l’énergie (dont les énergies renouvelables) pourront être abordés et développés.</w:t>
      </w:r>
    </w:p>
    <w:p w14:paraId="6EB7099D" w14:textId="77777777" w:rsidR="00C84E6A" w:rsidRPr="00F22DF2" w:rsidRDefault="00C84E6A" w:rsidP="009417ED">
      <w:pPr>
        <w:jc w:val="both"/>
        <w:rPr>
          <w:rFonts w:asciiTheme="minorHAnsi" w:eastAsiaTheme="minorEastAsia" w:hAnsiTheme="minorHAnsi" w:cstheme="minorHAnsi"/>
        </w:rPr>
      </w:pPr>
    </w:p>
    <w:p w14:paraId="7EF8C7E4" w14:textId="2E3DEAC4" w:rsidR="00C84E6A" w:rsidRPr="00F22DF2" w:rsidRDefault="00E81C37" w:rsidP="009417ED">
      <w:pPr>
        <w:pStyle w:val="NormalWeb"/>
        <w:jc w:val="both"/>
        <w:rPr>
          <w:rFonts w:asciiTheme="minorHAnsi" w:eastAsiaTheme="minorEastAsia" w:hAnsiTheme="minorHAnsi" w:cstheme="minorHAnsi"/>
          <w:b/>
          <w:bCs/>
          <w:u w:val="single"/>
        </w:rPr>
      </w:pPr>
      <w:r w:rsidRPr="00F22DF2">
        <w:rPr>
          <w:rFonts w:asciiTheme="minorHAnsi" w:eastAsiaTheme="minorEastAsia" w:hAnsiTheme="minorHAnsi" w:cstheme="minorHAnsi"/>
          <w:b/>
          <w:bCs/>
          <w:u w:val="single"/>
        </w:rPr>
        <w:t>Missions d</w:t>
      </w:r>
      <w:r w:rsidR="00E043A3" w:rsidRPr="00F22DF2">
        <w:rPr>
          <w:rFonts w:asciiTheme="minorHAnsi" w:eastAsiaTheme="minorEastAsia" w:hAnsiTheme="minorHAnsi" w:cstheme="minorHAnsi"/>
          <w:b/>
          <w:bCs/>
          <w:u w:val="single"/>
        </w:rPr>
        <w:t>e la ou du</w:t>
      </w:r>
      <w:r w:rsidRPr="00F22DF2">
        <w:rPr>
          <w:rFonts w:asciiTheme="minorHAnsi" w:eastAsiaTheme="minorEastAsia" w:hAnsiTheme="minorHAnsi" w:cstheme="minorHAnsi"/>
          <w:b/>
          <w:bCs/>
          <w:u w:val="single"/>
        </w:rPr>
        <w:t xml:space="preserve"> </w:t>
      </w:r>
      <w:r w:rsidR="00BA3B5A" w:rsidRPr="00F22DF2">
        <w:rPr>
          <w:rFonts w:asciiTheme="minorHAnsi" w:eastAsiaTheme="minorEastAsia" w:hAnsiTheme="minorHAnsi" w:cstheme="minorHAnsi"/>
          <w:b/>
          <w:bCs/>
          <w:u w:val="single"/>
        </w:rPr>
        <w:t>maître</w:t>
      </w:r>
      <w:r w:rsidRPr="00F22DF2">
        <w:rPr>
          <w:rFonts w:asciiTheme="minorHAnsi" w:eastAsiaTheme="minorEastAsia" w:hAnsiTheme="minorHAnsi" w:cstheme="minorHAnsi"/>
          <w:b/>
          <w:bCs/>
          <w:u w:val="single"/>
        </w:rPr>
        <w:t xml:space="preserve"> de conférences à recruter</w:t>
      </w:r>
    </w:p>
    <w:p w14:paraId="49129960" w14:textId="77777777" w:rsidR="008B663C" w:rsidRPr="00F22DF2" w:rsidRDefault="008B663C" w:rsidP="009417ED">
      <w:pPr>
        <w:pStyle w:val="NormalWeb"/>
        <w:jc w:val="both"/>
        <w:rPr>
          <w:rFonts w:asciiTheme="minorHAnsi" w:eastAsiaTheme="minorEastAsia" w:hAnsiTheme="minorHAnsi" w:cstheme="minorHAnsi"/>
          <w:b/>
          <w:bCs/>
          <w:u w:val="single"/>
        </w:rPr>
      </w:pPr>
    </w:p>
    <w:p w14:paraId="291964F3" w14:textId="77777777" w:rsidR="00C84E6A" w:rsidRPr="00F22DF2" w:rsidRDefault="00E81C37" w:rsidP="009417ED">
      <w:pPr>
        <w:pStyle w:val="Titre2"/>
        <w:spacing w:before="0" w:after="0"/>
        <w:ind w:left="0" w:firstLine="0"/>
        <w:jc w:val="both"/>
        <w:rPr>
          <w:rFonts w:asciiTheme="minorHAnsi" w:eastAsiaTheme="minorEastAsia" w:hAnsiTheme="minorHAnsi" w:cstheme="minorHAnsi"/>
          <w:sz w:val="24"/>
          <w:szCs w:val="24"/>
        </w:rPr>
      </w:pPr>
      <w:r w:rsidRPr="00F22DF2">
        <w:rPr>
          <w:rFonts w:asciiTheme="minorHAnsi" w:eastAsiaTheme="minorEastAsia" w:hAnsiTheme="minorHAnsi" w:cstheme="minorHAnsi"/>
          <w:sz w:val="24"/>
          <w:szCs w:val="24"/>
        </w:rPr>
        <w:t>Missions d’enseignement</w:t>
      </w:r>
    </w:p>
    <w:p w14:paraId="4E428024" w14:textId="77777777" w:rsidR="00C84E6A" w:rsidRPr="00F22DF2" w:rsidRDefault="00E81C37" w:rsidP="009417ED">
      <w:pPr>
        <w:pStyle w:val="Corpsdetexte"/>
        <w:jc w:val="both"/>
        <w:rPr>
          <w:rFonts w:asciiTheme="minorHAnsi" w:eastAsiaTheme="minorEastAsia" w:hAnsiTheme="minorHAnsi" w:cstheme="minorHAnsi"/>
        </w:rPr>
      </w:pPr>
      <w:r w:rsidRPr="00F22DF2">
        <w:rPr>
          <w:rFonts w:asciiTheme="minorHAnsi" w:eastAsiaTheme="minorEastAsia" w:hAnsiTheme="minorHAnsi" w:cstheme="minorHAnsi"/>
        </w:rPr>
        <w:t>Les missions consistent à assurer des formations (à hauteur de 192heqTD) des cursus de l’établissement qui amèneront la personne recrutée à intervenir dans différentes formations en lien avec l’UFR EGA. La personne recrutée devra assurer des enseignements sur les thèmes décrits dans l’objectif du poste. Les enseignements concernent à la fois la formation ingénieur et master et la personne recrutée devra pouvoir assurer des enseignements de niveau plus avancé. Plus précisément, la personne recrutée pourra assurer :</w:t>
      </w:r>
    </w:p>
    <w:p w14:paraId="683AB1F4" w14:textId="77777777" w:rsidR="00C84E6A" w:rsidRPr="00F22DF2" w:rsidRDefault="00E81C37" w:rsidP="009417ED">
      <w:pPr>
        <w:pStyle w:val="NormalWeb"/>
        <w:jc w:val="both"/>
        <w:rPr>
          <w:rFonts w:asciiTheme="minorHAnsi" w:eastAsiaTheme="minorEastAsia" w:hAnsiTheme="minorHAnsi" w:cstheme="minorHAnsi"/>
        </w:rPr>
      </w:pPr>
      <w:r w:rsidRPr="00F22DF2">
        <w:rPr>
          <w:rFonts w:asciiTheme="minorHAnsi" w:eastAsiaTheme="minorEastAsia" w:hAnsiTheme="minorHAnsi" w:cstheme="minorHAnsi"/>
        </w:rPr>
        <w:t>1/ En première année du cursus ingénieur :</w:t>
      </w:r>
    </w:p>
    <w:p w14:paraId="2EC9C56B" w14:textId="77777777" w:rsidR="00C84E6A" w:rsidRPr="00F22DF2" w:rsidRDefault="00E81C37" w:rsidP="009417ED">
      <w:pPr>
        <w:pStyle w:val="NormalWeb"/>
        <w:numPr>
          <w:ilvl w:val="0"/>
          <w:numId w:val="3"/>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enseignements introductifs à la </w:t>
      </w:r>
      <w:r w:rsidRPr="00F22DF2">
        <w:rPr>
          <w:rFonts w:asciiTheme="minorHAnsi" w:eastAsiaTheme="minorEastAsia" w:hAnsiTheme="minorHAnsi" w:cstheme="minorHAnsi"/>
          <w:i/>
        </w:rPr>
        <w:t>macroéconomie</w:t>
      </w:r>
      <w:r w:rsidRPr="00F22DF2">
        <w:rPr>
          <w:rFonts w:asciiTheme="minorHAnsi" w:eastAsiaTheme="minorEastAsia" w:hAnsiTheme="minorHAnsi" w:cstheme="minorHAnsi"/>
        </w:rPr>
        <w:t xml:space="preserve"> </w:t>
      </w:r>
    </w:p>
    <w:p w14:paraId="0DA7634E" w14:textId="77777777" w:rsidR="00C84E6A" w:rsidRPr="00F22DF2" w:rsidRDefault="00E81C37" w:rsidP="009417ED">
      <w:pPr>
        <w:pStyle w:val="NormalWeb"/>
        <w:jc w:val="both"/>
        <w:rPr>
          <w:rFonts w:asciiTheme="minorHAnsi" w:eastAsiaTheme="minorEastAsia" w:hAnsiTheme="minorHAnsi" w:cstheme="minorHAnsi"/>
        </w:rPr>
      </w:pPr>
      <w:r w:rsidRPr="00F22DF2">
        <w:rPr>
          <w:rFonts w:asciiTheme="minorHAnsi" w:eastAsiaTheme="minorEastAsia" w:hAnsiTheme="minorHAnsi" w:cstheme="minorHAnsi"/>
        </w:rPr>
        <w:t>2/ En deuxième année du cursus ingénieur :</w:t>
      </w:r>
    </w:p>
    <w:p w14:paraId="69995B1C"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cours sur </w:t>
      </w:r>
      <w:r w:rsidRPr="00F22DF2">
        <w:rPr>
          <w:rFonts w:asciiTheme="minorHAnsi" w:eastAsiaTheme="minorEastAsia" w:hAnsiTheme="minorHAnsi" w:cstheme="minorHAnsi"/>
          <w:i/>
        </w:rPr>
        <w:t>Les marchés financiers</w:t>
      </w:r>
      <w:r w:rsidRPr="00F22DF2">
        <w:rPr>
          <w:rFonts w:asciiTheme="minorHAnsi" w:eastAsiaTheme="minorEastAsia" w:hAnsiTheme="minorHAnsi" w:cstheme="minorHAnsi"/>
        </w:rPr>
        <w:t>,</w:t>
      </w:r>
    </w:p>
    <w:p w14:paraId="3B492EB8"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cours en </w:t>
      </w:r>
      <w:r w:rsidRPr="00F22DF2">
        <w:rPr>
          <w:rFonts w:asciiTheme="minorHAnsi" w:eastAsiaTheme="minorEastAsia" w:hAnsiTheme="minorHAnsi" w:cstheme="minorHAnsi"/>
          <w:i/>
        </w:rPr>
        <w:t>Finance d’entreprise et finance de marché</w:t>
      </w:r>
    </w:p>
    <w:p w14:paraId="019211C1"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cours sur la </w:t>
      </w:r>
      <w:r w:rsidRPr="00F22DF2">
        <w:rPr>
          <w:rFonts w:asciiTheme="minorHAnsi" w:eastAsiaTheme="minorEastAsia" w:hAnsiTheme="minorHAnsi" w:cstheme="minorHAnsi"/>
          <w:i/>
        </w:rPr>
        <w:t>Macroéconomie</w:t>
      </w:r>
    </w:p>
    <w:p w14:paraId="5BBFC279"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cours sur la </w:t>
      </w:r>
      <w:r w:rsidRPr="00F22DF2">
        <w:rPr>
          <w:rFonts w:asciiTheme="minorHAnsi" w:eastAsiaTheme="minorEastAsia" w:hAnsiTheme="minorHAnsi" w:cstheme="minorHAnsi"/>
          <w:i/>
        </w:rPr>
        <w:t>Gestion du risque de prix des matières premières</w:t>
      </w:r>
    </w:p>
    <w:p w14:paraId="66947FFC" w14:textId="77777777" w:rsidR="00C84E6A" w:rsidRPr="00F22DF2" w:rsidRDefault="00E81C37" w:rsidP="009417ED">
      <w:pPr>
        <w:pStyle w:val="NormalWeb"/>
        <w:jc w:val="both"/>
        <w:rPr>
          <w:rFonts w:asciiTheme="minorHAnsi" w:eastAsiaTheme="minorEastAsia" w:hAnsiTheme="minorHAnsi" w:cstheme="minorHAnsi"/>
        </w:rPr>
      </w:pPr>
      <w:r w:rsidRPr="00F22DF2">
        <w:rPr>
          <w:rFonts w:asciiTheme="minorHAnsi" w:eastAsiaTheme="minorEastAsia" w:hAnsiTheme="minorHAnsi" w:cstheme="minorHAnsi"/>
        </w:rPr>
        <w:t>3/ En troisième année du cursus ingénieur :</w:t>
      </w:r>
    </w:p>
    <w:p w14:paraId="69FEDEA8"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Les cours sur</w:t>
      </w:r>
      <w:r w:rsidRPr="00F22DF2">
        <w:rPr>
          <w:rFonts w:asciiTheme="minorHAnsi" w:eastAsiaTheme="minorEastAsia" w:hAnsiTheme="minorHAnsi" w:cstheme="minorHAnsi"/>
          <w:i/>
        </w:rPr>
        <w:t xml:space="preserve"> Les marchés financiers de matières premières</w:t>
      </w:r>
    </w:p>
    <w:p w14:paraId="71B0B363" w14:textId="77777777" w:rsidR="00C84E6A" w:rsidRPr="00F22DF2" w:rsidRDefault="00E81C37" w:rsidP="009417ED">
      <w:pPr>
        <w:pStyle w:val="NormalWeb"/>
        <w:numPr>
          <w:ilvl w:val="0"/>
          <w:numId w:val="4"/>
        </w:numPr>
        <w:ind w:left="0" w:firstLine="0"/>
        <w:jc w:val="both"/>
        <w:rPr>
          <w:rFonts w:asciiTheme="minorHAnsi" w:eastAsiaTheme="minorEastAsia" w:hAnsiTheme="minorHAnsi" w:cstheme="minorHAnsi"/>
        </w:rPr>
      </w:pPr>
      <w:r w:rsidRPr="00F22DF2">
        <w:rPr>
          <w:rFonts w:asciiTheme="minorHAnsi" w:eastAsiaTheme="minorEastAsia" w:hAnsiTheme="minorHAnsi" w:cstheme="minorHAnsi"/>
        </w:rPr>
        <w:t xml:space="preserve">Les cours en </w:t>
      </w:r>
      <w:r w:rsidRPr="00F22DF2">
        <w:rPr>
          <w:rFonts w:asciiTheme="minorHAnsi" w:eastAsiaTheme="minorEastAsia" w:hAnsiTheme="minorHAnsi" w:cstheme="minorHAnsi"/>
          <w:i/>
        </w:rPr>
        <w:t>Économie monétaire et financière</w:t>
      </w:r>
      <w:r w:rsidRPr="00F22DF2">
        <w:rPr>
          <w:rFonts w:asciiTheme="minorHAnsi" w:eastAsiaTheme="minorEastAsia" w:hAnsiTheme="minorHAnsi" w:cstheme="minorHAnsi"/>
        </w:rPr>
        <w:t xml:space="preserve"> </w:t>
      </w:r>
    </w:p>
    <w:p w14:paraId="22DECD6F" w14:textId="77777777" w:rsidR="00C84E6A" w:rsidRPr="00F22DF2" w:rsidRDefault="00E81C37" w:rsidP="009417ED">
      <w:pPr>
        <w:pStyle w:val="NormalWeb"/>
        <w:jc w:val="both"/>
        <w:rPr>
          <w:rFonts w:asciiTheme="minorHAnsi" w:eastAsiaTheme="minorEastAsia" w:hAnsiTheme="minorHAnsi" w:cstheme="minorHAnsi"/>
        </w:rPr>
      </w:pPr>
      <w:r w:rsidRPr="00F22DF2">
        <w:rPr>
          <w:rFonts w:asciiTheme="minorHAnsi" w:eastAsiaTheme="minorEastAsia" w:hAnsiTheme="minorHAnsi" w:cstheme="minorHAnsi"/>
        </w:rPr>
        <w:t xml:space="preserve">4/ En M2 Economie de l’environnement de l’énergie et des transports : </w:t>
      </w:r>
    </w:p>
    <w:p w14:paraId="587BE786" w14:textId="77777777" w:rsidR="00C84E6A" w:rsidRPr="00F22DF2" w:rsidRDefault="00E81C37" w:rsidP="009417ED">
      <w:pPr>
        <w:pStyle w:val="NormalWeb"/>
        <w:numPr>
          <w:ilvl w:val="0"/>
          <w:numId w:val="5"/>
        </w:numPr>
        <w:ind w:left="0" w:firstLine="0"/>
        <w:jc w:val="both"/>
        <w:rPr>
          <w:rFonts w:asciiTheme="minorHAnsi" w:eastAsiaTheme="minorEastAsia" w:hAnsiTheme="minorHAnsi" w:cstheme="minorHAnsi"/>
          <w:i/>
        </w:rPr>
      </w:pPr>
      <w:r w:rsidRPr="00F22DF2">
        <w:rPr>
          <w:rFonts w:asciiTheme="minorHAnsi" w:eastAsiaTheme="minorEastAsia" w:hAnsiTheme="minorHAnsi" w:cstheme="minorHAnsi"/>
        </w:rPr>
        <w:t>Les cours sur</w:t>
      </w:r>
      <w:r w:rsidRPr="00F22DF2">
        <w:rPr>
          <w:rFonts w:asciiTheme="minorHAnsi" w:eastAsiaTheme="minorEastAsia" w:hAnsiTheme="minorHAnsi" w:cstheme="minorHAnsi"/>
          <w:i/>
        </w:rPr>
        <w:t xml:space="preserve"> Les marchés financiers de matières premières</w:t>
      </w:r>
    </w:p>
    <w:p w14:paraId="246DF578" w14:textId="6446F09F" w:rsidR="00C84E6A" w:rsidRPr="00F22DF2" w:rsidRDefault="00E81C37" w:rsidP="009417ED">
      <w:pPr>
        <w:pStyle w:val="NormalWeb"/>
        <w:jc w:val="both"/>
        <w:rPr>
          <w:rFonts w:asciiTheme="minorHAnsi" w:eastAsiaTheme="minorEastAsia" w:hAnsiTheme="minorHAnsi" w:cstheme="minorHAnsi"/>
        </w:rPr>
      </w:pPr>
      <w:r w:rsidRPr="00F22DF2">
        <w:rPr>
          <w:rFonts w:asciiTheme="minorHAnsi" w:eastAsiaTheme="minorEastAsia" w:hAnsiTheme="minorHAnsi" w:cstheme="minorHAnsi"/>
        </w:rPr>
        <w:t xml:space="preserve">Ces thèmes de cours sont indicatifs. La personne recrutée pourra également proposer de nouveaux enseignements. Elle pourra par ailleurs participer à des enseignements dans des disciplines partagées avec d’autres enseignants-chercheurs (comptabilité, calcul économique, analyse financière, agroécologie, </w:t>
      </w:r>
      <w:r w:rsidR="00BA3B5A" w:rsidRPr="00F22DF2">
        <w:rPr>
          <w:rFonts w:asciiTheme="minorHAnsi" w:eastAsiaTheme="minorEastAsia" w:hAnsiTheme="minorHAnsi" w:cstheme="minorHAnsi"/>
        </w:rPr>
        <w:t>etc.</w:t>
      </w:r>
      <w:r w:rsidRPr="00F22DF2">
        <w:rPr>
          <w:rFonts w:asciiTheme="minorHAnsi" w:eastAsiaTheme="minorEastAsia" w:hAnsiTheme="minorHAnsi" w:cstheme="minorHAnsi"/>
        </w:rPr>
        <w:t>). Le développement de nouvelles formes pédagogiques est attendu.</w:t>
      </w:r>
    </w:p>
    <w:p w14:paraId="296EC4C0" w14:textId="77777777" w:rsidR="00C84E6A" w:rsidRPr="00F22DF2" w:rsidRDefault="00C84E6A" w:rsidP="009417ED">
      <w:pPr>
        <w:pStyle w:val="NormalWeb"/>
        <w:jc w:val="both"/>
        <w:rPr>
          <w:rFonts w:asciiTheme="minorHAnsi" w:eastAsiaTheme="minorEastAsia" w:hAnsiTheme="minorHAnsi" w:cstheme="minorHAnsi"/>
        </w:rPr>
      </w:pPr>
    </w:p>
    <w:p w14:paraId="197ED085" w14:textId="77777777" w:rsidR="00C84E6A" w:rsidRPr="00F22DF2" w:rsidRDefault="00E81C37" w:rsidP="009417ED">
      <w:pPr>
        <w:pStyle w:val="Titre2"/>
        <w:numPr>
          <w:ilvl w:val="0"/>
          <w:numId w:val="0"/>
        </w:numPr>
        <w:spacing w:before="0" w:after="0"/>
        <w:jc w:val="both"/>
        <w:rPr>
          <w:rFonts w:asciiTheme="minorHAnsi" w:eastAsiaTheme="minorEastAsia" w:hAnsiTheme="minorHAnsi" w:cstheme="minorHAnsi"/>
          <w:sz w:val="24"/>
          <w:szCs w:val="24"/>
        </w:rPr>
      </w:pPr>
      <w:r w:rsidRPr="00F22DF2">
        <w:rPr>
          <w:rFonts w:asciiTheme="minorHAnsi" w:eastAsiaTheme="minorEastAsia" w:hAnsiTheme="minorHAnsi" w:cstheme="minorHAnsi"/>
          <w:sz w:val="24"/>
          <w:szCs w:val="24"/>
        </w:rPr>
        <w:t>Missions de recherche</w:t>
      </w:r>
    </w:p>
    <w:p w14:paraId="31123ED5" w14:textId="52354272" w:rsidR="00C84E6A" w:rsidRPr="00F22DF2" w:rsidRDefault="00E81C37" w:rsidP="009417ED">
      <w:pPr>
        <w:pStyle w:val="Corpsdetexte"/>
        <w:jc w:val="both"/>
        <w:rPr>
          <w:rFonts w:asciiTheme="minorHAnsi" w:eastAsiaTheme="minorEastAsia" w:hAnsiTheme="minorHAnsi" w:cstheme="minorHAnsi"/>
        </w:rPr>
      </w:pPr>
      <w:r w:rsidRPr="00F22DF2">
        <w:rPr>
          <w:rFonts w:asciiTheme="minorHAnsi" w:eastAsiaTheme="minorEastAsia" w:hAnsiTheme="minorHAnsi" w:cstheme="minorHAnsi"/>
        </w:rPr>
        <w:t>La personne recrutée aura pour charge de développer des travaux en macroéconomie et/ou finance appliquées au champ des matières premières des secteurs agricole (mobilisation des marchés financiers sur les risques systémiques agricoles), de l’énergie et/ou de l’environnement (ex : finance carbone). Les activités de recherche sont à mener en appui à la décision publique et à la profession.</w:t>
      </w:r>
    </w:p>
    <w:p w14:paraId="6042EB0D" w14:textId="0240312F" w:rsidR="009417ED" w:rsidRPr="00F22DF2" w:rsidRDefault="009417ED" w:rsidP="009417ED">
      <w:pPr>
        <w:pStyle w:val="Corpsdetexte"/>
        <w:jc w:val="both"/>
        <w:rPr>
          <w:rFonts w:asciiTheme="minorHAnsi" w:eastAsiaTheme="minorEastAsia" w:hAnsiTheme="minorHAnsi" w:cstheme="minorHAnsi"/>
        </w:rPr>
      </w:pPr>
    </w:p>
    <w:p w14:paraId="08BB0A96" w14:textId="77777777" w:rsidR="00B632A4" w:rsidRPr="00F22DF2" w:rsidRDefault="00B632A4" w:rsidP="009417ED">
      <w:pPr>
        <w:pStyle w:val="Titre2"/>
        <w:spacing w:before="0" w:after="0"/>
        <w:ind w:left="0" w:firstLine="0"/>
        <w:jc w:val="both"/>
        <w:rPr>
          <w:rFonts w:asciiTheme="minorHAnsi" w:eastAsiaTheme="minorEastAsia" w:hAnsiTheme="minorHAnsi" w:cstheme="minorHAnsi"/>
          <w:sz w:val="24"/>
          <w:szCs w:val="24"/>
        </w:rPr>
      </w:pPr>
    </w:p>
    <w:p w14:paraId="19345421" w14:textId="77777777" w:rsidR="00B632A4" w:rsidRPr="00F22DF2" w:rsidRDefault="00B632A4" w:rsidP="009417ED">
      <w:pPr>
        <w:pStyle w:val="Titre2"/>
        <w:spacing w:before="0" w:after="0"/>
        <w:ind w:left="0" w:firstLine="0"/>
        <w:jc w:val="both"/>
        <w:rPr>
          <w:rFonts w:asciiTheme="minorHAnsi" w:eastAsiaTheme="minorEastAsia" w:hAnsiTheme="minorHAnsi" w:cstheme="minorHAnsi"/>
          <w:sz w:val="24"/>
          <w:szCs w:val="24"/>
        </w:rPr>
      </w:pPr>
    </w:p>
    <w:p w14:paraId="26509537" w14:textId="77777777" w:rsidR="00B632A4" w:rsidRPr="00F22DF2" w:rsidRDefault="00B632A4" w:rsidP="009417ED">
      <w:pPr>
        <w:pStyle w:val="Titre2"/>
        <w:spacing w:before="0" w:after="0"/>
        <w:ind w:left="0" w:firstLine="0"/>
        <w:jc w:val="both"/>
        <w:rPr>
          <w:rFonts w:asciiTheme="minorHAnsi" w:eastAsiaTheme="minorEastAsia" w:hAnsiTheme="minorHAnsi" w:cstheme="minorHAnsi"/>
          <w:sz w:val="24"/>
          <w:szCs w:val="24"/>
        </w:rPr>
      </w:pPr>
    </w:p>
    <w:p w14:paraId="1629816C" w14:textId="078C2413" w:rsidR="009417ED" w:rsidRPr="00F22DF2" w:rsidRDefault="00E81C37" w:rsidP="009417ED">
      <w:pPr>
        <w:pStyle w:val="Titre2"/>
        <w:spacing w:before="0" w:after="0"/>
        <w:ind w:left="0" w:firstLine="0"/>
        <w:jc w:val="both"/>
        <w:rPr>
          <w:rFonts w:asciiTheme="minorHAnsi" w:eastAsiaTheme="minorEastAsia" w:hAnsiTheme="minorHAnsi" w:cstheme="minorHAnsi"/>
          <w:sz w:val="24"/>
          <w:szCs w:val="24"/>
        </w:rPr>
      </w:pPr>
      <w:r w:rsidRPr="00F22DF2">
        <w:rPr>
          <w:rFonts w:asciiTheme="minorHAnsi" w:eastAsiaTheme="minorEastAsia" w:hAnsiTheme="minorHAnsi" w:cstheme="minorHAnsi"/>
          <w:sz w:val="24"/>
          <w:szCs w:val="24"/>
        </w:rPr>
        <w:lastRenderedPageBreak/>
        <w:t>Autres missions d’intérêt général au sein de l’établissement</w:t>
      </w:r>
    </w:p>
    <w:p w14:paraId="5D317D3C" w14:textId="6992D502" w:rsidR="00C84E6A" w:rsidRPr="00F22DF2" w:rsidRDefault="00E81C37" w:rsidP="009417ED">
      <w:pPr>
        <w:pStyle w:val="Titre2"/>
        <w:spacing w:before="0" w:after="0"/>
        <w:ind w:left="0" w:firstLine="0"/>
        <w:jc w:val="both"/>
        <w:rPr>
          <w:rFonts w:asciiTheme="minorHAnsi" w:eastAsiaTheme="minorEastAsia" w:hAnsiTheme="minorHAnsi" w:cstheme="minorHAnsi"/>
          <w:b w:val="0"/>
          <w:bCs w:val="0"/>
          <w:sz w:val="24"/>
          <w:szCs w:val="24"/>
        </w:rPr>
      </w:pPr>
      <w:r w:rsidRPr="00F22DF2">
        <w:rPr>
          <w:rFonts w:asciiTheme="minorHAnsi" w:eastAsiaTheme="minorEastAsia" w:hAnsiTheme="minorHAnsi" w:cstheme="minorHAnsi"/>
          <w:b w:val="0"/>
          <w:bCs w:val="0"/>
          <w:sz w:val="24"/>
          <w:szCs w:val="24"/>
        </w:rPr>
        <w:t>La personne recrutée devra participer aux activités de l’établissement interdisciplinaires à travers des collaborations avec les collègues d’AgroParisTech et prendre des responsabilités de module et de formation.</w:t>
      </w:r>
    </w:p>
    <w:p w14:paraId="4102A576" w14:textId="1D9283C0" w:rsidR="008B663C" w:rsidRPr="00F22DF2" w:rsidRDefault="008B663C" w:rsidP="008B663C">
      <w:pPr>
        <w:rPr>
          <w:rFonts w:asciiTheme="minorHAnsi" w:hAnsiTheme="minorHAnsi" w:cstheme="minorHAnsi"/>
        </w:rPr>
      </w:pPr>
    </w:p>
    <w:p w14:paraId="18D51519" w14:textId="77777777" w:rsidR="008B663C" w:rsidRPr="00F22DF2" w:rsidRDefault="008B663C" w:rsidP="008B663C">
      <w:pPr>
        <w:rPr>
          <w:rFonts w:asciiTheme="minorHAnsi" w:hAnsiTheme="minorHAnsi" w:cstheme="minorHAnsi"/>
        </w:rPr>
      </w:pPr>
    </w:p>
    <w:p w14:paraId="4E9E4FD9" w14:textId="77777777" w:rsidR="00C84E6A" w:rsidRPr="00F22DF2" w:rsidRDefault="00E81C37" w:rsidP="009417ED">
      <w:pPr>
        <w:pStyle w:val="Titre2"/>
        <w:spacing w:before="0" w:after="0"/>
        <w:ind w:left="0" w:firstLine="0"/>
        <w:jc w:val="both"/>
        <w:rPr>
          <w:rFonts w:asciiTheme="minorHAnsi" w:eastAsiaTheme="minorEastAsia" w:hAnsiTheme="minorHAnsi" w:cstheme="minorHAnsi"/>
          <w:sz w:val="24"/>
          <w:szCs w:val="24"/>
          <w:u w:val="single"/>
        </w:rPr>
      </w:pPr>
      <w:r w:rsidRPr="00F22DF2">
        <w:rPr>
          <w:rFonts w:asciiTheme="minorHAnsi" w:eastAsiaTheme="minorEastAsia" w:hAnsiTheme="minorHAnsi" w:cstheme="minorHAnsi"/>
          <w:sz w:val="24"/>
          <w:szCs w:val="24"/>
          <w:u w:val="single"/>
        </w:rPr>
        <w:t>Compétences recherchées</w:t>
      </w:r>
    </w:p>
    <w:p w14:paraId="2A6A04A3" w14:textId="77777777"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rPr>
        <w:t>La personne doit avoir un doctorat (ou diplôme équivalent) en sciences économiques. Des compétences en économétrie seront appréciées, de même que la capacité à enseigner en anglais. La personne recrutée aura une expérience en enseignement et devra avoir des travaux de recherche sur les thèmes du poste ou des thèmes proches.</w:t>
      </w:r>
    </w:p>
    <w:p w14:paraId="40409BA9" w14:textId="77777777" w:rsidR="00C84E6A" w:rsidRPr="00F22DF2" w:rsidRDefault="00C84E6A" w:rsidP="009417ED">
      <w:pPr>
        <w:jc w:val="both"/>
        <w:rPr>
          <w:rFonts w:asciiTheme="minorHAnsi" w:eastAsiaTheme="minorEastAsia" w:hAnsiTheme="minorHAnsi" w:cstheme="minorHAnsi"/>
        </w:rPr>
      </w:pPr>
    </w:p>
    <w:p w14:paraId="09A06FF3" w14:textId="13B9CA25"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b/>
          <w:bCs/>
          <w:i/>
          <w:iCs/>
        </w:rPr>
        <w:t>Contact</w:t>
      </w:r>
      <w:r w:rsidR="00E043A3" w:rsidRPr="00F22DF2">
        <w:rPr>
          <w:rFonts w:asciiTheme="minorHAnsi" w:eastAsiaTheme="minorEastAsia" w:hAnsiTheme="minorHAnsi" w:cstheme="minorHAnsi"/>
          <w:b/>
          <w:bCs/>
          <w:i/>
          <w:iCs/>
        </w:rPr>
        <w:t>s</w:t>
      </w:r>
      <w:r w:rsidRPr="00F22DF2">
        <w:rPr>
          <w:rFonts w:asciiTheme="minorHAnsi" w:eastAsiaTheme="minorEastAsia" w:hAnsiTheme="minorHAnsi" w:cstheme="minorHAnsi"/>
          <w:b/>
          <w:bCs/>
          <w:i/>
          <w:iCs/>
        </w:rPr>
        <w:t xml:space="preserve"> pédagogique</w:t>
      </w:r>
      <w:r w:rsidR="00E043A3" w:rsidRPr="00F22DF2">
        <w:rPr>
          <w:rFonts w:asciiTheme="minorHAnsi" w:eastAsiaTheme="minorEastAsia" w:hAnsiTheme="minorHAnsi" w:cstheme="minorHAnsi"/>
          <w:b/>
          <w:bCs/>
          <w:i/>
          <w:iCs/>
        </w:rPr>
        <w:t>s</w:t>
      </w:r>
      <w:r w:rsidRPr="00F22DF2">
        <w:rPr>
          <w:rFonts w:asciiTheme="minorHAnsi" w:eastAsiaTheme="minorEastAsia" w:hAnsiTheme="minorHAnsi" w:cstheme="minorHAnsi"/>
          <w:b/>
          <w:bCs/>
          <w:i/>
          <w:iCs/>
        </w:rPr>
        <w:t xml:space="preserve"> et scientifique </w:t>
      </w:r>
    </w:p>
    <w:p w14:paraId="6AF370AD" w14:textId="238B74B1"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b/>
          <w:bCs/>
          <w:i/>
          <w:iCs/>
        </w:rPr>
        <w:t>Contact</w:t>
      </w:r>
      <w:r w:rsidR="00E043A3" w:rsidRPr="00F22DF2">
        <w:rPr>
          <w:rFonts w:asciiTheme="minorHAnsi" w:eastAsiaTheme="minorEastAsia" w:hAnsiTheme="minorHAnsi" w:cstheme="minorHAnsi"/>
          <w:b/>
          <w:bCs/>
          <w:i/>
          <w:iCs/>
        </w:rPr>
        <w:t>s</w:t>
      </w:r>
      <w:r w:rsidRPr="00F22DF2">
        <w:rPr>
          <w:rFonts w:asciiTheme="minorHAnsi" w:eastAsiaTheme="minorEastAsia" w:hAnsiTheme="minorHAnsi" w:cstheme="minorHAnsi"/>
          <w:b/>
          <w:bCs/>
          <w:i/>
          <w:iCs/>
        </w:rPr>
        <w:t xml:space="preserve"> pédagogique</w:t>
      </w:r>
      <w:r w:rsidR="00E043A3" w:rsidRPr="00F22DF2">
        <w:rPr>
          <w:rFonts w:asciiTheme="minorHAnsi" w:eastAsiaTheme="minorEastAsia" w:hAnsiTheme="minorHAnsi" w:cstheme="minorHAnsi"/>
          <w:b/>
          <w:bCs/>
          <w:i/>
          <w:iCs/>
        </w:rPr>
        <w:t>s</w:t>
      </w:r>
      <w:r w:rsidRPr="00F22DF2">
        <w:rPr>
          <w:rFonts w:asciiTheme="minorHAnsi" w:eastAsiaTheme="minorEastAsia" w:hAnsiTheme="minorHAnsi" w:cstheme="minorHAnsi"/>
          <w:b/>
          <w:bCs/>
          <w:i/>
          <w:iCs/>
        </w:rPr>
        <w:t xml:space="preserve"> : </w:t>
      </w:r>
      <w:r w:rsidRPr="00F22DF2">
        <w:rPr>
          <w:rFonts w:asciiTheme="minorHAnsi" w:eastAsiaTheme="minorEastAsia" w:hAnsiTheme="minorHAnsi" w:cstheme="minorHAnsi"/>
        </w:rPr>
        <w:t xml:space="preserve">Caroline Orset – AgroParisTech UFR EGA : </w:t>
      </w:r>
      <w:hyperlink r:id="rId8" w:history="1">
        <w:r w:rsidRPr="00F22DF2">
          <w:rPr>
            <w:rStyle w:val="Lienhypertexte"/>
            <w:rFonts w:asciiTheme="minorHAnsi" w:eastAsiaTheme="minorEastAsia" w:hAnsiTheme="minorHAnsi" w:cstheme="minorHAnsi"/>
          </w:rPr>
          <w:t>caroline.orset@agroparistech.fr</w:t>
        </w:r>
      </w:hyperlink>
      <w:r w:rsidRPr="00F22DF2">
        <w:rPr>
          <w:rFonts w:asciiTheme="minorHAnsi" w:eastAsiaTheme="minorEastAsia" w:hAnsiTheme="minorHAnsi" w:cstheme="minorHAnsi"/>
        </w:rPr>
        <w:t xml:space="preserve"> et Cécile Blatrix - AgroParisTech Département SESG : </w:t>
      </w:r>
      <w:hyperlink r:id="rId9" w:history="1">
        <w:r w:rsidRPr="00F22DF2">
          <w:rPr>
            <w:rStyle w:val="Lienhypertexte"/>
            <w:rFonts w:asciiTheme="minorHAnsi" w:eastAsiaTheme="minorEastAsia" w:hAnsiTheme="minorHAnsi" w:cstheme="minorHAnsi"/>
          </w:rPr>
          <w:t>cecile.blatrix@agroparistech.fr</w:t>
        </w:r>
      </w:hyperlink>
      <w:r w:rsidRPr="00F22DF2">
        <w:rPr>
          <w:rFonts w:asciiTheme="minorHAnsi" w:eastAsiaTheme="minorEastAsia" w:hAnsiTheme="minorHAnsi" w:cstheme="minorHAnsi"/>
        </w:rPr>
        <w:t xml:space="preserve"> </w:t>
      </w:r>
    </w:p>
    <w:p w14:paraId="18368DEB" w14:textId="77777777" w:rsidR="00C84E6A" w:rsidRPr="00F22DF2" w:rsidRDefault="00E81C37" w:rsidP="009417ED">
      <w:pPr>
        <w:jc w:val="both"/>
        <w:rPr>
          <w:rFonts w:asciiTheme="minorHAnsi" w:eastAsiaTheme="minorEastAsia" w:hAnsiTheme="minorHAnsi" w:cstheme="minorHAnsi"/>
        </w:rPr>
      </w:pPr>
      <w:r w:rsidRPr="00F22DF2">
        <w:rPr>
          <w:rFonts w:asciiTheme="minorHAnsi" w:eastAsiaTheme="minorEastAsia" w:hAnsiTheme="minorHAnsi" w:cstheme="minorHAnsi"/>
          <w:b/>
          <w:bCs/>
          <w:i/>
          <w:iCs/>
        </w:rPr>
        <w:t xml:space="preserve">Contact scientifique : </w:t>
      </w:r>
      <w:r w:rsidRPr="00F22DF2">
        <w:rPr>
          <w:rFonts w:asciiTheme="minorHAnsi" w:eastAsiaTheme="minorEastAsia" w:hAnsiTheme="minorHAnsi" w:cstheme="minorHAnsi"/>
        </w:rPr>
        <w:t xml:space="preserve">Stephan Marette – UMR PSAE : </w:t>
      </w:r>
      <w:hyperlink r:id="rId10" w:history="1">
        <w:r w:rsidRPr="00F22DF2">
          <w:rPr>
            <w:rStyle w:val="Lienhypertexte"/>
            <w:rFonts w:asciiTheme="minorHAnsi" w:eastAsiaTheme="minorEastAsia" w:hAnsiTheme="minorHAnsi" w:cstheme="minorHAnsi"/>
          </w:rPr>
          <w:t>stephan.marette@agroparistech.fr</w:t>
        </w:r>
      </w:hyperlink>
      <w:r w:rsidRPr="00F22DF2">
        <w:rPr>
          <w:rFonts w:asciiTheme="minorHAnsi" w:eastAsiaTheme="minorEastAsia" w:hAnsiTheme="minorHAnsi" w:cstheme="minorHAnsi"/>
        </w:rPr>
        <w:t xml:space="preserve"> </w:t>
      </w:r>
    </w:p>
    <w:p w14:paraId="7FEF2797" w14:textId="77777777" w:rsidR="00C84E6A" w:rsidRPr="00F22DF2" w:rsidRDefault="00C84E6A" w:rsidP="009417ED">
      <w:pPr>
        <w:jc w:val="both"/>
        <w:rPr>
          <w:rFonts w:asciiTheme="minorHAnsi" w:eastAsiaTheme="minorEastAsia" w:hAnsiTheme="minorHAnsi" w:cstheme="minorHAnsi"/>
        </w:rPr>
      </w:pPr>
    </w:p>
    <w:p w14:paraId="14CEC70A" w14:textId="77777777" w:rsidR="00C84E6A" w:rsidRPr="00F22DF2" w:rsidRDefault="00E81C37" w:rsidP="009417ED">
      <w:pPr>
        <w:jc w:val="both"/>
        <w:rPr>
          <w:rFonts w:asciiTheme="minorHAnsi" w:eastAsiaTheme="minorEastAsia" w:hAnsiTheme="minorHAnsi" w:cstheme="minorHAnsi"/>
          <w:b/>
          <w:i/>
        </w:rPr>
      </w:pPr>
      <w:r w:rsidRPr="00F22DF2">
        <w:rPr>
          <w:rFonts w:asciiTheme="minorHAnsi" w:eastAsiaTheme="minorEastAsia" w:hAnsiTheme="minorHAnsi" w:cstheme="minorHAnsi"/>
          <w:b/>
          <w:i/>
        </w:rPr>
        <w:t>Contacts administratifs : direction des ressources humaines </w:t>
      </w:r>
    </w:p>
    <w:p w14:paraId="5BB695C9" w14:textId="77777777" w:rsidR="00C84E6A" w:rsidRPr="00F22DF2" w:rsidRDefault="00E81C37" w:rsidP="009417ED">
      <w:pPr>
        <w:jc w:val="both"/>
        <w:rPr>
          <w:rFonts w:asciiTheme="minorHAnsi" w:eastAsiaTheme="minorEastAsia" w:hAnsiTheme="minorHAnsi" w:cstheme="minorHAnsi"/>
          <w:color w:val="000000"/>
        </w:rPr>
      </w:pPr>
      <w:r w:rsidRPr="00F22DF2">
        <w:rPr>
          <w:rFonts w:asciiTheme="minorHAnsi" w:eastAsiaTheme="minorEastAsia" w:hAnsiTheme="minorHAnsi" w:cstheme="minorHAnsi"/>
          <w:color w:val="000000"/>
        </w:rPr>
        <w:t>Gestionnaires des personnels enseignants</w:t>
      </w:r>
    </w:p>
    <w:p w14:paraId="069D20FB" w14:textId="77777777" w:rsidR="00C84E6A" w:rsidRPr="00F22DF2" w:rsidRDefault="00E81C37" w:rsidP="009417ED">
      <w:pPr>
        <w:jc w:val="both"/>
        <w:rPr>
          <w:rFonts w:asciiTheme="minorHAnsi" w:eastAsiaTheme="minorEastAsia" w:hAnsiTheme="minorHAnsi" w:cstheme="minorHAnsi"/>
          <w:color w:val="000000"/>
        </w:rPr>
      </w:pPr>
      <w:r w:rsidRPr="00F22DF2">
        <w:rPr>
          <w:rStyle w:val="Lienhypertexte"/>
          <w:rFonts w:asciiTheme="minorHAnsi" w:eastAsiaTheme="minorEastAsia" w:hAnsiTheme="minorHAnsi" w:cstheme="minorHAnsi"/>
          <w:color w:val="000000"/>
          <w:u w:val="none"/>
        </w:rPr>
        <w:t>Vanessa SOUTENARE</w:t>
      </w:r>
      <w:r w:rsidRPr="00F22DF2">
        <w:rPr>
          <w:rFonts w:asciiTheme="minorHAnsi" w:eastAsiaTheme="minorEastAsia" w:hAnsiTheme="minorHAnsi" w:cstheme="minorHAnsi"/>
          <w:color w:val="000000"/>
        </w:rPr>
        <w:t xml:space="preserve"> </w:t>
      </w:r>
    </w:p>
    <w:p w14:paraId="5506F24F" w14:textId="77777777" w:rsidR="00C84E6A" w:rsidRPr="00F22DF2" w:rsidRDefault="00F77A33" w:rsidP="009417ED">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Style w:val="Lienhypertexte"/>
          <w:rFonts w:asciiTheme="minorHAnsi" w:eastAsiaTheme="minorEastAsia" w:hAnsiTheme="minorHAnsi" w:cstheme="minorHAnsi"/>
          <w:sz w:val="24"/>
          <w:szCs w:val="24"/>
        </w:rPr>
      </w:pPr>
      <w:hyperlink r:id="rId11" w:history="1">
        <w:r w:rsidR="00E81C37" w:rsidRPr="00F22DF2">
          <w:rPr>
            <w:rStyle w:val="Lienhypertexte"/>
            <w:rFonts w:asciiTheme="minorHAnsi" w:eastAsiaTheme="minorEastAsia" w:hAnsiTheme="minorHAnsi" w:cstheme="minorHAnsi"/>
            <w:sz w:val="24"/>
            <w:szCs w:val="24"/>
          </w:rPr>
          <w:t>vanessa.soutenare@agroparistech.fr</w:t>
        </w:r>
      </w:hyperlink>
      <w:r w:rsidR="00E81C37" w:rsidRPr="00F22DF2">
        <w:rPr>
          <w:rStyle w:val="Lienhypertexte"/>
          <w:rFonts w:asciiTheme="minorHAnsi" w:eastAsiaTheme="minorEastAsia" w:hAnsiTheme="minorHAnsi" w:cstheme="minorHAnsi"/>
          <w:sz w:val="24"/>
          <w:szCs w:val="24"/>
        </w:rPr>
        <w:t xml:space="preserve"> </w:t>
      </w:r>
    </w:p>
    <w:p w14:paraId="068A923A" w14:textId="77777777" w:rsidR="00C84E6A" w:rsidRPr="00F22DF2" w:rsidRDefault="00E81C37" w:rsidP="009417ED">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sz w:val="24"/>
          <w:szCs w:val="24"/>
        </w:rPr>
      </w:pPr>
      <w:r w:rsidRPr="00F22DF2">
        <w:rPr>
          <w:rFonts w:asciiTheme="minorHAnsi" w:eastAsiaTheme="minorEastAsia" w:hAnsiTheme="minorHAnsi" w:cstheme="minorHAnsi"/>
          <w:sz w:val="24"/>
          <w:szCs w:val="24"/>
        </w:rPr>
        <w:t>Tel : 01.89.10.00.52 </w:t>
      </w:r>
    </w:p>
    <w:p w14:paraId="0D18602A" w14:textId="77777777" w:rsidR="00C84E6A" w:rsidRPr="00F22DF2" w:rsidRDefault="00C84E6A" w:rsidP="009417ED">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sz w:val="24"/>
          <w:szCs w:val="24"/>
        </w:rPr>
      </w:pPr>
    </w:p>
    <w:p w14:paraId="7B2DDB5C" w14:textId="77777777" w:rsidR="00C84E6A" w:rsidRPr="00F22DF2" w:rsidRDefault="00E81C37" w:rsidP="009417ED">
      <w:pPr>
        <w:jc w:val="both"/>
        <w:rPr>
          <w:rStyle w:val="Lienhypertexte"/>
          <w:rFonts w:asciiTheme="minorHAnsi" w:eastAsiaTheme="minorEastAsia" w:hAnsiTheme="minorHAnsi" w:cstheme="minorHAnsi"/>
          <w:color w:val="000000"/>
          <w:u w:val="none"/>
        </w:rPr>
      </w:pPr>
      <w:r w:rsidRPr="00F22DF2">
        <w:rPr>
          <w:rFonts w:asciiTheme="minorHAnsi" w:eastAsiaTheme="minorEastAsia" w:hAnsiTheme="minorHAnsi" w:cstheme="minorHAnsi"/>
          <w:color w:val="000000"/>
        </w:rPr>
        <w:t>Béatrice AIME</w:t>
      </w:r>
    </w:p>
    <w:p w14:paraId="294549CA" w14:textId="77777777" w:rsidR="00C84E6A" w:rsidRPr="00F22DF2" w:rsidRDefault="00F77A33" w:rsidP="009417ED">
      <w:pPr>
        <w:pStyle w:val="Formatlibr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sz w:val="24"/>
          <w:szCs w:val="24"/>
        </w:rPr>
      </w:pPr>
      <w:hyperlink r:id="rId12" w:history="1">
        <w:r w:rsidR="00E81C37" w:rsidRPr="00F22DF2">
          <w:rPr>
            <w:rStyle w:val="Lienhypertexte"/>
            <w:rFonts w:asciiTheme="minorHAnsi" w:eastAsiaTheme="minorEastAsia" w:hAnsiTheme="minorHAnsi" w:cstheme="minorHAnsi"/>
            <w:sz w:val="24"/>
            <w:szCs w:val="24"/>
          </w:rPr>
          <w:t>beatrice.aime@agroparistech.fr</w:t>
        </w:r>
      </w:hyperlink>
      <w:r w:rsidR="00E81C37" w:rsidRPr="00F22DF2">
        <w:rPr>
          <w:rFonts w:asciiTheme="minorHAnsi" w:eastAsiaTheme="minorEastAsia" w:hAnsiTheme="minorHAnsi" w:cstheme="minorHAnsi"/>
          <w:sz w:val="24"/>
          <w:szCs w:val="24"/>
        </w:rPr>
        <w:t xml:space="preserve"> </w:t>
      </w:r>
    </w:p>
    <w:p w14:paraId="622C9D7A" w14:textId="77777777" w:rsidR="00C84E6A" w:rsidRPr="00F22DF2" w:rsidRDefault="00E81C37" w:rsidP="009417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color w:val="000000"/>
        </w:rPr>
      </w:pPr>
      <w:r w:rsidRPr="00F22DF2">
        <w:rPr>
          <w:rFonts w:asciiTheme="minorHAnsi" w:eastAsiaTheme="minorEastAsia" w:hAnsiTheme="minorHAnsi" w:cstheme="minorHAnsi"/>
          <w:color w:val="000000"/>
        </w:rPr>
        <w:t>Tél : 01.89.10.00.61</w:t>
      </w:r>
    </w:p>
    <w:p w14:paraId="64A23C04" w14:textId="77777777" w:rsidR="00C84E6A" w:rsidRPr="00F22DF2" w:rsidRDefault="00C84E6A" w:rsidP="009417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color w:val="000000"/>
        </w:rPr>
      </w:pPr>
    </w:p>
    <w:p w14:paraId="3EE55878" w14:textId="77777777" w:rsidR="00C84E6A" w:rsidRPr="00F22DF2" w:rsidRDefault="00E81C37" w:rsidP="009417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Theme="minorHAnsi" w:eastAsiaTheme="minorEastAsia" w:hAnsiTheme="minorHAnsi" w:cstheme="minorHAnsi"/>
          <w:color w:val="000000"/>
        </w:rPr>
      </w:pPr>
      <w:r w:rsidRPr="00F22DF2">
        <w:rPr>
          <w:rFonts w:asciiTheme="minorHAnsi" w:eastAsiaTheme="minorEastAsia" w:hAnsiTheme="minorHAnsi" w:cstheme="minorHAnsi"/>
          <w:color w:val="000000"/>
        </w:rPr>
        <w:t xml:space="preserve">         </w:t>
      </w:r>
    </w:p>
    <w:sectPr w:rsidR="00C84E6A" w:rsidRPr="00F22DF2">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5096" w14:textId="77777777" w:rsidR="00F77A33" w:rsidRDefault="00F77A33">
      <w:r>
        <w:separator/>
      </w:r>
    </w:p>
  </w:endnote>
  <w:endnote w:type="continuationSeparator" w:id="0">
    <w:p w14:paraId="2D0F2E61" w14:textId="77777777" w:rsidR="00F77A33" w:rsidRDefault="00F7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default"/>
    <w:sig w:usb0="00000000" w:usb1="00000000" w:usb2="00000021" w:usb3="00000000" w:csb0="000001BF" w:csb1="00000000"/>
  </w:font>
  <w:font w:name="Droid Sans Fallback">
    <w:altName w:val="Thonburi"/>
    <w:charset w:val="01"/>
    <w:family w:val="auto"/>
    <w:pitch w:val="default"/>
    <w:sig w:usb0="00000000" w:usb1="00000000" w:usb2="00000000" w:usb3="00000000" w:csb0="00000001" w:csb1="00000000"/>
  </w:font>
  <w:font w:name="FreeSans">
    <w:altName w:val="Calibri"/>
    <w:charset w:val="01"/>
    <w:family w:val="auto"/>
    <w:pitch w:val="default"/>
    <w:sig w:usb0="00000000" w:usb1="00000000" w:usb2="00000000" w:usb3="00000000" w:csb0="00000001" w:csb1="00000000"/>
  </w:font>
  <w:font w:name="Noto Serif CJK SC">
    <w:altName w:val="Thonburi"/>
    <w:charset w:val="01"/>
    <w:family w:val="auto"/>
    <w:pitch w:val="default"/>
  </w:font>
  <w:font w:name="Lohit Devanagari">
    <w:altName w:val="Thonburi"/>
    <w:charset w:val="01"/>
    <w:family w:val="auto"/>
    <w:pitch w:val="default"/>
  </w:font>
  <w:font w:name="font500">
    <w:altName w:val="Thonburi"/>
    <w:charset w:val="01"/>
    <w:family w:val="auto"/>
    <w:pitch w:val="default"/>
  </w:font>
  <w:font w:name="Liberation Sans">
    <w:altName w:val="苹方-简"/>
    <w:charset w:val="00"/>
    <w:family w:val="swiss"/>
    <w:pitch w:val="default"/>
    <w:sig w:usb0="00000000" w:usb1="00000000"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苹方-简"/>
    <w:panose1 w:val="05010000000000000000"/>
    <w:charset w:val="00"/>
    <w:family w:val="auto"/>
    <w:pitch w:val="variable"/>
    <w:sig w:usb0="800000AF" w:usb1="1001ECEA" w:usb2="00000000" w:usb3="00000000" w:csb0="00000001" w:csb1="00000000"/>
  </w:font>
  <w:font w:name="ヒラギノ角ゴ Pro W3">
    <w:altName w:val="Yu Gothic"/>
    <w:charset w:val="80"/>
    <w:family w:val="auto"/>
    <w:pitch w:val="default"/>
    <w:sig w:usb0="E00002FF" w:usb1="7AE7FFFF" w:usb2="00000012" w:usb3="00000000" w:csb0="0002000D"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FB5" w14:textId="77777777" w:rsidR="00C84E6A" w:rsidRDefault="00C84E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4ED9" w14:textId="77777777" w:rsidR="00C84E6A" w:rsidRDefault="00C84E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E4EE" w14:textId="77777777" w:rsidR="00C84E6A" w:rsidRDefault="00C84E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805A" w14:textId="77777777" w:rsidR="00F77A33" w:rsidRDefault="00F77A33">
      <w:r>
        <w:separator/>
      </w:r>
    </w:p>
  </w:footnote>
  <w:footnote w:type="continuationSeparator" w:id="0">
    <w:p w14:paraId="31C92E34" w14:textId="77777777" w:rsidR="00F77A33" w:rsidRDefault="00F7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68A6" w14:textId="77777777" w:rsidR="00C84E6A" w:rsidRDefault="00C84E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8AA5" w14:textId="77777777" w:rsidR="00C84E6A" w:rsidRDefault="00C84E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4AF4" w14:textId="77777777" w:rsidR="00C84E6A" w:rsidRDefault="00C84E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left" w:pos="0"/>
        </w:tabs>
        <w:ind w:left="0" w:firstLine="0"/>
      </w:pPr>
    </w:lvl>
    <w:lvl w:ilvl="1">
      <w:start w:val="1"/>
      <w:numFmt w:val="none"/>
      <w:pStyle w:val="Titre2"/>
      <w:suff w:val="nothing"/>
      <w:lvlText w:val=""/>
      <w:lvlJc w:val="left"/>
      <w:pPr>
        <w:tabs>
          <w:tab w:val="left" w:pos="0"/>
        </w:tabs>
        <w:ind w:left="576"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5AA7C26"/>
    <w:multiLevelType w:val="multilevel"/>
    <w:tmpl w:val="35AA7C26"/>
    <w:lvl w:ilvl="0">
      <w:start w:val="1"/>
      <w:numFmt w:val="bullet"/>
      <w:lvlText w:val=""/>
      <w:lvlJc w:val="left"/>
      <w:pPr>
        <w:ind w:left="708" w:firstLine="0"/>
      </w:pPr>
      <w:rPr>
        <w:rFonts w:ascii="Symbol" w:hAnsi="Symbol" w:cs="Symbol" w:hint="default"/>
        <w:b w:val="0"/>
        <w:i w:val="0"/>
        <w:strike w:val="0"/>
        <w:dstrike w:val="0"/>
        <w:color w:val="000000"/>
        <w:position w:val="0"/>
        <w:sz w:val="22"/>
        <w:u w:val="none" w:color="000000"/>
        <w:vertAlign w:val="baseline"/>
      </w:rPr>
    </w:lvl>
    <w:lvl w:ilvl="1">
      <w:start w:val="1"/>
      <w:numFmt w:val="bullet"/>
      <w:lvlText w:val="o"/>
      <w:lvlJc w:val="left"/>
      <w:pPr>
        <w:ind w:left="1657" w:firstLine="0"/>
      </w:pPr>
      <w:rPr>
        <w:rFonts w:ascii="Arial" w:hAnsi="Arial" w:cs="Arial" w:hint="default"/>
        <w:b w:val="0"/>
        <w:i w:val="0"/>
        <w:strike w:val="0"/>
        <w:dstrike w:val="0"/>
        <w:color w:val="000000"/>
        <w:position w:val="0"/>
        <w:sz w:val="22"/>
        <w:u w:val="none" w:color="000000"/>
        <w:vertAlign w:val="baseline"/>
      </w:rPr>
    </w:lvl>
    <w:lvl w:ilvl="2">
      <w:start w:val="1"/>
      <w:numFmt w:val="bullet"/>
      <w:lvlText w:val="▪"/>
      <w:lvlJc w:val="left"/>
      <w:pPr>
        <w:ind w:left="2377" w:firstLine="0"/>
      </w:pPr>
      <w:rPr>
        <w:rFonts w:ascii="Arial" w:hAnsi="Arial" w:cs="Arial" w:hint="default"/>
        <w:b w:val="0"/>
        <w:i w:val="0"/>
        <w:strike w:val="0"/>
        <w:dstrike w:val="0"/>
        <w:color w:val="000000"/>
        <w:position w:val="0"/>
        <w:sz w:val="22"/>
        <w:u w:val="none" w:color="000000"/>
        <w:vertAlign w:val="baseline"/>
      </w:rPr>
    </w:lvl>
    <w:lvl w:ilvl="3">
      <w:start w:val="1"/>
      <w:numFmt w:val="bullet"/>
      <w:lvlText w:val="•"/>
      <w:lvlJc w:val="left"/>
      <w:pPr>
        <w:ind w:left="3097" w:firstLine="0"/>
      </w:pPr>
      <w:rPr>
        <w:rFonts w:ascii="Arial" w:hAnsi="Arial" w:cs="Arial" w:hint="default"/>
        <w:b w:val="0"/>
        <w:i w:val="0"/>
        <w:strike w:val="0"/>
        <w:dstrike w:val="0"/>
        <w:color w:val="000000"/>
        <w:position w:val="0"/>
        <w:sz w:val="22"/>
        <w:u w:val="none" w:color="000000"/>
        <w:vertAlign w:val="baseline"/>
      </w:rPr>
    </w:lvl>
    <w:lvl w:ilvl="4">
      <w:start w:val="1"/>
      <w:numFmt w:val="bullet"/>
      <w:lvlText w:val="o"/>
      <w:lvlJc w:val="left"/>
      <w:pPr>
        <w:ind w:left="3817" w:firstLine="0"/>
      </w:pPr>
      <w:rPr>
        <w:rFonts w:ascii="Arial" w:hAnsi="Arial" w:cs="Arial" w:hint="default"/>
        <w:b w:val="0"/>
        <w:i w:val="0"/>
        <w:strike w:val="0"/>
        <w:dstrike w:val="0"/>
        <w:color w:val="000000"/>
        <w:position w:val="0"/>
        <w:sz w:val="22"/>
        <w:u w:val="none" w:color="000000"/>
        <w:vertAlign w:val="baseline"/>
      </w:rPr>
    </w:lvl>
    <w:lvl w:ilvl="5">
      <w:start w:val="1"/>
      <w:numFmt w:val="bullet"/>
      <w:lvlText w:val="▪"/>
      <w:lvlJc w:val="left"/>
      <w:pPr>
        <w:ind w:left="4537" w:firstLine="0"/>
      </w:pPr>
      <w:rPr>
        <w:rFonts w:ascii="Arial" w:hAnsi="Arial" w:cs="Arial" w:hint="default"/>
        <w:b w:val="0"/>
        <w:i w:val="0"/>
        <w:strike w:val="0"/>
        <w:dstrike w:val="0"/>
        <w:color w:val="000000"/>
        <w:position w:val="0"/>
        <w:sz w:val="22"/>
        <w:u w:val="none" w:color="000000"/>
        <w:vertAlign w:val="baseline"/>
      </w:rPr>
    </w:lvl>
    <w:lvl w:ilvl="6">
      <w:start w:val="1"/>
      <w:numFmt w:val="bullet"/>
      <w:lvlText w:val="•"/>
      <w:lvlJc w:val="left"/>
      <w:pPr>
        <w:ind w:left="5257" w:firstLine="0"/>
      </w:pPr>
      <w:rPr>
        <w:rFonts w:ascii="Arial" w:hAnsi="Arial" w:cs="Arial" w:hint="default"/>
        <w:b w:val="0"/>
        <w:i w:val="0"/>
        <w:strike w:val="0"/>
        <w:dstrike w:val="0"/>
        <w:color w:val="000000"/>
        <w:position w:val="0"/>
        <w:sz w:val="22"/>
        <w:u w:val="none" w:color="000000"/>
        <w:vertAlign w:val="baseline"/>
      </w:rPr>
    </w:lvl>
    <w:lvl w:ilvl="7">
      <w:start w:val="1"/>
      <w:numFmt w:val="bullet"/>
      <w:lvlText w:val="o"/>
      <w:lvlJc w:val="left"/>
      <w:pPr>
        <w:ind w:left="5977" w:firstLine="0"/>
      </w:pPr>
      <w:rPr>
        <w:rFonts w:ascii="Arial" w:hAnsi="Arial" w:cs="Arial" w:hint="default"/>
        <w:b w:val="0"/>
        <w:i w:val="0"/>
        <w:strike w:val="0"/>
        <w:dstrike w:val="0"/>
        <w:color w:val="000000"/>
        <w:position w:val="0"/>
        <w:sz w:val="22"/>
        <w:u w:val="none" w:color="000000"/>
        <w:vertAlign w:val="baseline"/>
      </w:rPr>
    </w:lvl>
    <w:lvl w:ilvl="8">
      <w:start w:val="1"/>
      <w:numFmt w:val="bullet"/>
      <w:lvlText w:val="▪"/>
      <w:lvlJc w:val="left"/>
      <w:pPr>
        <w:ind w:left="6697" w:firstLine="0"/>
      </w:pPr>
      <w:rPr>
        <w:rFonts w:ascii="Arial" w:hAnsi="Arial" w:cs="Arial" w:hint="default"/>
        <w:b w:val="0"/>
        <w:i w:val="0"/>
        <w:strike w:val="0"/>
        <w:dstrike w:val="0"/>
        <w:color w:val="000000"/>
        <w:position w:val="0"/>
        <w:sz w:val="22"/>
        <w:u w:val="none" w:color="000000"/>
        <w:vertAlign w:val="baseline"/>
      </w:rPr>
    </w:lvl>
  </w:abstractNum>
  <w:abstractNum w:abstractNumId="2" w15:restartNumberingAfterBreak="0">
    <w:nsid w:val="5E582FA1"/>
    <w:multiLevelType w:val="multilevel"/>
    <w:tmpl w:val="5E582FA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AF345E"/>
    <w:multiLevelType w:val="multilevel"/>
    <w:tmpl w:val="78AF345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89640A"/>
    <w:multiLevelType w:val="multilevel"/>
    <w:tmpl w:val="7C89640A"/>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0B"/>
    <w:rsid w:val="B7F8341E"/>
    <w:rsid w:val="C7D53385"/>
    <w:rsid w:val="EBF766DA"/>
    <w:rsid w:val="EFBD1173"/>
    <w:rsid w:val="F8FF2317"/>
    <w:rsid w:val="F9AEE951"/>
    <w:rsid w:val="FC351620"/>
    <w:rsid w:val="FF93AA8F"/>
    <w:rsid w:val="FFE6167A"/>
    <w:rsid w:val="00022135"/>
    <w:rsid w:val="000775A5"/>
    <w:rsid w:val="000F3A53"/>
    <w:rsid w:val="00100CB0"/>
    <w:rsid w:val="00187B1D"/>
    <w:rsid w:val="0019224E"/>
    <w:rsid w:val="001F25B8"/>
    <w:rsid w:val="00204D69"/>
    <w:rsid w:val="00263232"/>
    <w:rsid w:val="002C09EC"/>
    <w:rsid w:val="002F250B"/>
    <w:rsid w:val="00306751"/>
    <w:rsid w:val="00397955"/>
    <w:rsid w:val="003D5915"/>
    <w:rsid w:val="003D6BB0"/>
    <w:rsid w:val="003E6D69"/>
    <w:rsid w:val="00421366"/>
    <w:rsid w:val="0044560E"/>
    <w:rsid w:val="004546BD"/>
    <w:rsid w:val="00460F1D"/>
    <w:rsid w:val="0047649B"/>
    <w:rsid w:val="00484148"/>
    <w:rsid w:val="004D325E"/>
    <w:rsid w:val="004F696A"/>
    <w:rsid w:val="0055704D"/>
    <w:rsid w:val="005A4602"/>
    <w:rsid w:val="005E0AC1"/>
    <w:rsid w:val="005E1C6A"/>
    <w:rsid w:val="005F317A"/>
    <w:rsid w:val="00732E86"/>
    <w:rsid w:val="0076182D"/>
    <w:rsid w:val="007E2750"/>
    <w:rsid w:val="007E442D"/>
    <w:rsid w:val="00852093"/>
    <w:rsid w:val="008B663C"/>
    <w:rsid w:val="008C3173"/>
    <w:rsid w:val="00917C3E"/>
    <w:rsid w:val="00922922"/>
    <w:rsid w:val="009417ED"/>
    <w:rsid w:val="009864DE"/>
    <w:rsid w:val="00A273A4"/>
    <w:rsid w:val="00AC0F56"/>
    <w:rsid w:val="00B240EA"/>
    <w:rsid w:val="00B42F27"/>
    <w:rsid w:val="00B55B90"/>
    <w:rsid w:val="00B632A4"/>
    <w:rsid w:val="00BA3B5A"/>
    <w:rsid w:val="00C04DC2"/>
    <w:rsid w:val="00C84E6A"/>
    <w:rsid w:val="00CC461D"/>
    <w:rsid w:val="00CC72D2"/>
    <w:rsid w:val="00CD4260"/>
    <w:rsid w:val="00D21284"/>
    <w:rsid w:val="00DD4218"/>
    <w:rsid w:val="00E043A3"/>
    <w:rsid w:val="00E4075B"/>
    <w:rsid w:val="00E81C37"/>
    <w:rsid w:val="00E95E61"/>
    <w:rsid w:val="00EA3027"/>
    <w:rsid w:val="00EA7154"/>
    <w:rsid w:val="00F20974"/>
    <w:rsid w:val="00F21B0F"/>
    <w:rsid w:val="00F22DF2"/>
    <w:rsid w:val="00F77A33"/>
    <w:rsid w:val="00F830F8"/>
    <w:rsid w:val="0FB35FEA"/>
    <w:rsid w:val="1E7B6A42"/>
    <w:rsid w:val="3FDBC4A1"/>
    <w:rsid w:val="7378ACD3"/>
    <w:rsid w:val="7AB3ADDB"/>
    <w:rsid w:val="7E3D0A3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53F04F"/>
  <w15:docId w15:val="{C563ABD3-8DAC-4F71-A7CE-F2385BB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FreeSans"/>
      <w:kern w:val="2"/>
      <w:sz w:val="24"/>
      <w:szCs w:val="24"/>
      <w:lang w:eastAsia="zh-CN" w:bidi="hi-IN"/>
    </w:rPr>
  </w:style>
  <w:style w:type="paragraph" w:styleId="Titre1">
    <w:name w:val="heading 1"/>
    <w:basedOn w:val="Titre3"/>
    <w:next w:val="Corpsdetexte"/>
    <w:qFormat/>
    <w:pPr>
      <w:numPr>
        <w:numId w:val="1"/>
      </w:numPr>
      <w:outlineLvl w:val="0"/>
    </w:pPr>
    <w:rPr>
      <w:rFonts w:ascii="Liberation Serif" w:eastAsia="Noto Serif CJK SC" w:hAnsi="Liberation Serif" w:cs="Lohit Devanagari"/>
      <w:b/>
      <w:bCs/>
      <w:sz w:val="48"/>
      <w:szCs w:val="48"/>
    </w:rPr>
  </w:style>
  <w:style w:type="paragraph" w:styleId="Titre2">
    <w:name w:val="heading 2"/>
    <w:basedOn w:val="Normal"/>
    <w:next w:val="Normal"/>
    <w:qFormat/>
    <w:pPr>
      <w:keepLines/>
      <w:numPr>
        <w:ilvl w:val="1"/>
        <w:numId w:val="1"/>
      </w:numPr>
      <w:spacing w:before="120" w:after="60"/>
      <w:outlineLvl w:val="1"/>
    </w:pPr>
    <w:rPr>
      <w:rFonts w:cs="font500"/>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
    <w:name w:val="Titre3"/>
    <w:basedOn w:val="Normal"/>
    <w:next w:val="Corpsdetexte"/>
    <w:pPr>
      <w:keepNext/>
      <w:spacing w:before="240" w:after="120"/>
    </w:pPr>
    <w:rPr>
      <w:rFonts w:ascii="Liberation Sans" w:hAnsi="Liberation Sans"/>
      <w:sz w:val="28"/>
      <w:szCs w:val="28"/>
    </w:rPr>
  </w:style>
  <w:style w:type="paragraph" w:styleId="Corpsdetexte">
    <w:name w:val="Body Text"/>
    <w:basedOn w:val="Normal"/>
  </w:style>
  <w:style w:type="paragraph" w:styleId="Lgende">
    <w:name w:val="caption"/>
    <w:basedOn w:val="Normal"/>
    <w:qFormat/>
    <w:pPr>
      <w:suppressLineNumbers/>
      <w:spacing w:before="120" w:after="120"/>
    </w:pPr>
    <w:rPr>
      <w:i/>
      <w:iCs/>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paragraph" w:styleId="En-tte">
    <w:name w:val="header"/>
    <w:basedOn w:val="Normal"/>
    <w:link w:val="En-tteCar"/>
    <w:uiPriority w:val="99"/>
    <w:unhideWhenUsed/>
    <w:qFormat/>
    <w:pPr>
      <w:tabs>
        <w:tab w:val="center" w:pos="4536"/>
        <w:tab w:val="right" w:pos="9072"/>
      </w:tabs>
    </w:pPr>
    <w:rPr>
      <w:rFonts w:cs="Mangal"/>
      <w:szCs w:val="21"/>
    </w:rPr>
  </w:style>
  <w:style w:type="character" w:styleId="Lienhypertexte">
    <w:name w:val="Hyperlink"/>
    <w:rPr>
      <w:color w:val="0000FF"/>
      <w:u w:val="single"/>
    </w:rPr>
  </w:style>
  <w:style w:type="paragraph" w:styleId="Liste">
    <w:name w:val="List"/>
    <w:basedOn w:val="Corpsdetexte"/>
  </w:style>
  <w:style w:type="paragraph" w:styleId="NormalWeb">
    <w:name w:val="Normal (Web)"/>
    <w:basedOn w:val="Normal"/>
    <w:uiPriority w:val="99"/>
  </w:style>
  <w:style w:type="character" w:styleId="lev">
    <w:name w:val="Strong"/>
    <w:uiPriority w:val="22"/>
    <w:qFormat/>
    <w:rPr>
      <w:b/>
      <w:bC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color w:val="000000"/>
      <w:lang w:val="en-US"/>
    </w:rPr>
  </w:style>
  <w:style w:type="character" w:customStyle="1" w:styleId="WW8Num4z1">
    <w:name w:val="WW8Num4z1"/>
    <w:qFormat/>
    <w:rPr>
      <w:rFonts w:ascii="OpenSymbol" w:hAnsi="OpenSymbol" w:cs="OpenSymbol"/>
    </w:rPr>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0">
    <w:name w:val="WW8Num6z0"/>
    <w:qFormat/>
    <w:rPr>
      <w:rFonts w:ascii="Symbol" w:hAnsi="Symbol" w:cs="OpenSymbol"/>
      <w:color w:val="000000"/>
      <w:lang w:val="en-US"/>
    </w:rPr>
  </w:style>
  <w:style w:type="character" w:customStyle="1" w:styleId="WW8Num6z1">
    <w:name w:val="WW8Num6z1"/>
    <w:qFormat/>
    <w:rPr>
      <w:rFonts w:ascii="OpenSymbol" w:hAnsi="OpenSymbol" w:cs="OpenSymbol"/>
    </w:rPr>
  </w:style>
  <w:style w:type="character" w:customStyle="1" w:styleId="Policepardfaut3">
    <w:name w:val="Police par défaut3"/>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olicepardfaut2">
    <w:name w:val="Police par défaut2"/>
    <w:qFormat/>
  </w:style>
  <w:style w:type="character" w:customStyle="1" w:styleId="WW8Num7z0">
    <w:name w:val="WW8Num7z0"/>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Policepardfaut1">
    <w:name w:val="Police par défaut1"/>
    <w:qFormat/>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Index">
    <w:name w:val="Index"/>
    <w:basedOn w:val="Normal"/>
    <w:pPr>
      <w:suppressLineNumbers/>
    </w:pPr>
  </w:style>
  <w:style w:type="paragraph" w:customStyle="1" w:styleId="Titre20">
    <w:name w:val="Titre2"/>
    <w:basedOn w:val="Normal"/>
    <w:next w:val="Corpsdetexte"/>
    <w:pPr>
      <w:keepNext/>
      <w:spacing w:before="240" w:after="120"/>
    </w:pPr>
    <w:rPr>
      <w:rFonts w:ascii="Liberation Sans" w:hAnsi="Liberation Sans"/>
      <w:sz w:val="28"/>
      <w:szCs w:val="28"/>
    </w:rPr>
  </w:style>
  <w:style w:type="paragraph" w:customStyle="1" w:styleId="Titre10">
    <w:name w:val="Titre1"/>
    <w:basedOn w:val="Normal"/>
    <w:next w:val="Corpsdetexte"/>
    <w:pPr>
      <w:keepNext/>
      <w:spacing w:before="240" w:after="120"/>
    </w:pPr>
    <w:rPr>
      <w:rFonts w:ascii="Liberation Sans" w:hAnsi="Liberation Sans"/>
      <w:sz w:val="28"/>
      <w:szCs w:val="28"/>
    </w:rPr>
  </w:style>
  <w:style w:type="paragraph" w:customStyle="1" w:styleId="Paragraphedeliste1">
    <w:name w:val="Paragraphe de liste1"/>
    <w:basedOn w:val="Normal"/>
    <w:pPr>
      <w:ind w:left="720"/>
      <w:contextualSpacing/>
    </w:pPr>
  </w:style>
  <w:style w:type="paragraph" w:customStyle="1" w:styleId="Formatlibre">
    <w:name w:val="Format libre"/>
    <w:uiPriority w:val="99"/>
    <w:rPr>
      <w:rFonts w:eastAsia="ヒラギノ角ゴ Pro W3"/>
      <w:color w:val="000000"/>
    </w:rPr>
  </w:style>
  <w:style w:type="character" w:customStyle="1" w:styleId="Mentionnonrsolue1">
    <w:name w:val="Mention non résolue1"/>
    <w:uiPriority w:val="99"/>
    <w:semiHidden/>
    <w:unhideWhenUsed/>
    <w:rPr>
      <w:color w:val="605E5C"/>
      <w:shd w:val="clear" w:color="auto" w:fill="E1DFDD"/>
    </w:rPr>
  </w:style>
  <w:style w:type="character" w:customStyle="1" w:styleId="En-tteCar">
    <w:name w:val="En-tête Car"/>
    <w:basedOn w:val="Policepardfaut"/>
    <w:link w:val="En-tte"/>
    <w:uiPriority w:val="99"/>
    <w:rPr>
      <w:rFonts w:ascii="Liberation Serif" w:eastAsia="Droid Sans Fallback" w:hAnsi="Liberation Serif" w:cs="Mangal"/>
      <w:kern w:val="2"/>
      <w:sz w:val="24"/>
      <w:szCs w:val="21"/>
      <w:lang w:eastAsia="zh-CN" w:bidi="hi-IN"/>
    </w:rPr>
  </w:style>
  <w:style w:type="character" w:customStyle="1" w:styleId="PieddepageCar">
    <w:name w:val="Pied de page Car"/>
    <w:basedOn w:val="Policepardfaut"/>
    <w:link w:val="Pieddepage"/>
    <w:uiPriority w:val="99"/>
    <w:rPr>
      <w:rFonts w:ascii="Liberation Serif" w:eastAsia="Droid Sans Fallback"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7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oline.orset@agroparistech.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atrice.aime@agroparistec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essa.soutenare@agroparistech.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ephan.marette@agroparistech.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cile.blatrix@agroparistech.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999</Words>
  <Characters>6145</Characters>
  <Application>Microsoft Office Word</Application>
  <DocSecurity>0</DocSecurity>
  <Lines>124</Lines>
  <Paragraphs>54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Blatrix</dc:creator>
  <cp:lastModifiedBy>Caroline Orset</cp:lastModifiedBy>
  <cp:revision>9</cp:revision>
  <dcterms:created xsi:type="dcterms:W3CDTF">2024-10-04T08:36:00Z</dcterms:created>
  <dcterms:modified xsi:type="dcterms:W3CDTF">2025-01-16T15:51:00Z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A7BF2EA90BC8538F429FFE66F092B24B_42</vt:lpwstr>
  </property>
  <property fmtid="{D5CDD505-2E9C-101B-9397-08002B2CF9AE}" pid="4" name="GrammarlyDocumentId">
    <vt:lpwstr>b2a70447d3b832e3e3ce49d771abd4f9da7bb7afaa38a2b9369e66f7ccd7ccf1</vt:lpwstr>
  </property>
</Properties>
</file>